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5E2A" w14:textId="77777777" w:rsidR="008A2750" w:rsidRPr="008A2750" w:rsidRDefault="008A2750" w:rsidP="008A2750">
      <w:pPr>
        <w:widowControl/>
        <w:jc w:val="center"/>
        <w:rPr>
          <w:rFonts w:ascii="Gill Sans MT" w:hAnsi="Gill Sans MT"/>
          <w:b/>
          <w:bCs/>
          <w:sz w:val="32"/>
        </w:rPr>
      </w:pPr>
    </w:p>
    <w:p w14:paraId="13277FBF" w14:textId="169F99D3" w:rsidR="007B4BA9" w:rsidRPr="007B4BA9" w:rsidRDefault="00A0399A" w:rsidP="008D30CB">
      <w:pPr>
        <w:widowControl/>
        <w:spacing w:after="240"/>
        <w:jc w:val="center"/>
        <w:rPr>
          <w:rFonts w:ascii="Gill Sans MT" w:hAnsi="Gill Sans MT"/>
          <w:b/>
          <w:bCs/>
          <w:sz w:val="32"/>
        </w:rPr>
      </w:pPr>
      <w:r>
        <w:rPr>
          <w:rFonts w:ascii="Gill Sans MT" w:hAnsi="Gill Sans MT"/>
          <w:b/>
          <w:bCs/>
          <w:sz w:val="32"/>
        </w:rPr>
        <w:t xml:space="preserve">AVIS D’ORDONNANCE DU TRIBUNAL </w:t>
      </w:r>
    </w:p>
    <w:p w14:paraId="0934B8D5" w14:textId="15156666" w:rsidR="00905019" w:rsidRPr="00905019" w:rsidRDefault="007B4BA9" w:rsidP="007B4BA9">
      <w:pPr>
        <w:tabs>
          <w:tab w:val="left" w:pos="-720"/>
        </w:tabs>
        <w:ind w:hanging="360"/>
        <w:jc w:val="center"/>
        <w:rPr>
          <w:b/>
          <w:bCs/>
          <w:sz w:val="28"/>
        </w:rPr>
      </w:pPr>
      <w:r>
        <w:rPr>
          <w:b/>
          <w:bCs/>
          <w:sz w:val="28"/>
        </w:rPr>
        <w:t xml:space="preserve">  Ordonnance en vue de l’autorisation du Recours collectif, de l'approbation du Règlement et de l'approbation des frais du Conseil juridique </w:t>
      </w:r>
    </w:p>
    <w:p w14:paraId="46A37A60" w14:textId="77777777" w:rsidR="00905019" w:rsidRDefault="00905019" w:rsidP="00905019">
      <w:pPr>
        <w:jc w:val="center"/>
        <w:rPr>
          <w:b/>
          <w:bCs/>
        </w:rPr>
      </w:pPr>
    </w:p>
    <w:p w14:paraId="089A9B28" w14:textId="77777777" w:rsidR="00905019" w:rsidRDefault="00A0399A" w:rsidP="00905019">
      <w:pPr>
        <w:pStyle w:val="SCHeading1Centre"/>
        <w:spacing w:before="0" w:after="0"/>
      </w:pPr>
      <w:r>
        <w:t xml:space="preserve">Recours collectif </w:t>
      </w:r>
      <w:r>
        <w:rPr>
          <w:i/>
        </w:rPr>
        <w:t xml:space="preserve">HAIKOLA </w:t>
      </w:r>
      <w:r>
        <w:rPr>
          <w:i/>
          <w:caps w:val="0"/>
        </w:rPr>
        <w:t xml:space="preserve">contre </w:t>
      </w:r>
      <w:r>
        <w:rPr>
          <w:i/>
        </w:rPr>
        <w:t xml:space="preserve">LA PERSONNELLE, COMPAGNIE D'ASSURANCES </w:t>
      </w:r>
      <w:bookmarkStart w:id="0" w:name="_DV_M304"/>
      <w:bookmarkEnd w:id="0"/>
    </w:p>
    <w:p w14:paraId="2E3EFEB0" w14:textId="77777777" w:rsidR="00905019" w:rsidRDefault="00905019" w:rsidP="00905019"/>
    <w:p w14:paraId="41BD5F68" w14:textId="77777777" w:rsidR="00905019" w:rsidRDefault="00A0399A" w:rsidP="00905019">
      <w:pPr>
        <w:contextualSpacing/>
        <w:jc w:val="center"/>
        <w:rPr>
          <w:b/>
          <w:u w:val="single"/>
        </w:rPr>
      </w:pPr>
      <w:r>
        <w:rPr>
          <w:b/>
          <w:u w:val="single"/>
        </w:rPr>
        <w:t xml:space="preserve">VEUILLEZ LIRE CET AVIS ATTENTIVEMENT.  IL POURRAIT AVOIR UNE INCIDENCE SUR VOS DROITS. </w:t>
      </w:r>
    </w:p>
    <w:p w14:paraId="1901FED6" w14:textId="77777777" w:rsidR="00905019" w:rsidRDefault="00905019" w:rsidP="00905019">
      <w:pPr>
        <w:rPr>
          <w:b/>
          <w:u w:val="single"/>
        </w:rPr>
      </w:pPr>
    </w:p>
    <w:p w14:paraId="7C9A1A5A" w14:textId="77777777" w:rsidR="00905019" w:rsidRPr="007B4BA9" w:rsidRDefault="00A0399A" w:rsidP="007B4BA9">
      <w:pPr>
        <w:pStyle w:val="Titre1"/>
      </w:pPr>
      <w:r>
        <w:t>À qui s'adresse cet avis?</w:t>
      </w:r>
    </w:p>
    <w:p w14:paraId="3EF1DAE4" w14:textId="271982C6" w:rsidR="00905019" w:rsidRPr="007B4BA9" w:rsidRDefault="00A0399A" w:rsidP="00CE4C44">
      <w:pPr>
        <w:spacing w:after="240"/>
        <w:ind w:left="360"/>
        <w:rPr>
          <w:rFonts w:ascii="Bell MT" w:hAnsi="Bell MT"/>
        </w:rPr>
      </w:pPr>
      <w:r>
        <w:rPr>
          <w:rFonts w:ascii="Bell MT" w:hAnsi="Bell MT"/>
        </w:rPr>
        <w:t xml:space="preserve">Le présent avis concerne toutes les personnes qui : (1) ont été assurées par La Personnelle, compagnie d’assurances (« La Personnelle ») en vertu d'une police d'assurance automobile valide entre janvier 2012 et mai 2019; (2) ont fait une réclamation d'assurance automobile en vertu de cette police auprès de La Personnelle pendant cette période; et, (3) ont consenti à la collecte ou à l'utilisation par La Personnelle ou ses agents de leur cote  de crédit comme exigence du processus de gestion des demandes de remboursement de La Personnelle en matière de prévention et de détection de la fraude (le « Recours »). </w:t>
      </w:r>
    </w:p>
    <w:p w14:paraId="5F6741C1" w14:textId="77777777" w:rsidR="00CE4C44" w:rsidRPr="007B4BA9" w:rsidRDefault="00A0399A" w:rsidP="00905019">
      <w:pPr>
        <w:spacing w:after="120"/>
        <w:ind w:left="360"/>
        <w:rPr>
          <w:rFonts w:ascii="Bell MT" w:hAnsi="Bell MT"/>
        </w:rPr>
      </w:pPr>
      <w:r>
        <w:rPr>
          <w:rFonts w:ascii="Bell MT" w:hAnsi="Bell MT"/>
        </w:rPr>
        <w:t>Si vous avez reçu une version abrégée de cet avis, La Personnelle vous a identifié dans ses dossiers comme l'un de ses assurés qui entrent dans la définition du recours.  Vous n'avez pas besoin de prendre d'autres mesures pour établir que vous êtes membre du Recours.</w:t>
      </w:r>
    </w:p>
    <w:p w14:paraId="17527CA8" w14:textId="77777777" w:rsidR="00905019" w:rsidRPr="007B4BA9" w:rsidRDefault="00A0399A" w:rsidP="007B4BA9">
      <w:pPr>
        <w:pStyle w:val="Titre1"/>
      </w:pPr>
      <w:r>
        <w:t>En quoi consiste le Recours?</w:t>
      </w:r>
    </w:p>
    <w:p w14:paraId="5284EFF4" w14:textId="77777777" w:rsidR="00905019" w:rsidRPr="007B4BA9" w:rsidRDefault="00A0399A" w:rsidP="00905019">
      <w:pPr>
        <w:ind w:left="360"/>
        <w:rPr>
          <w:rFonts w:ascii="Bell MT" w:hAnsi="Bell MT"/>
        </w:rPr>
      </w:pPr>
      <w:r>
        <w:rPr>
          <w:rFonts w:ascii="Bell MT" w:hAnsi="Bell MT"/>
        </w:rPr>
        <w:t xml:space="preserve">En janvier 2012, La Personnelle a demandé le consentement aux assurés pour recueillir ou utiliser leur </w:t>
      </w:r>
      <w:proofErr w:type="gramStart"/>
      <w:r>
        <w:rPr>
          <w:rFonts w:ascii="Bell MT" w:hAnsi="Bell MT"/>
        </w:rPr>
        <w:t>cote</w:t>
      </w:r>
      <w:proofErr w:type="gramEnd"/>
      <w:r>
        <w:rPr>
          <w:rFonts w:ascii="Bell MT" w:hAnsi="Bell MT"/>
        </w:rPr>
        <w:t xml:space="preserve"> de crédit dans le cadre de son processus de gestion des réclamations d’assurance automobile afin de faciliter la détection et la prévention de la fraude.  Dans les cas où le consentement de l'assuré a été obtenu, La Personnelle a recueilli ou utilisé les </w:t>
      </w:r>
      <w:proofErr w:type="gramStart"/>
      <w:r>
        <w:rPr>
          <w:rFonts w:ascii="Bell MT" w:hAnsi="Bell MT"/>
        </w:rPr>
        <w:t>renseignements</w:t>
      </w:r>
      <w:proofErr w:type="gramEnd"/>
      <w:r>
        <w:rPr>
          <w:rFonts w:ascii="Bell MT" w:hAnsi="Bell MT"/>
        </w:rPr>
        <w:t xml:space="preserve"> relatifs au pointage de crédit de l’assuré.</w:t>
      </w:r>
    </w:p>
    <w:p w14:paraId="50F642F3" w14:textId="77777777" w:rsidR="00905019" w:rsidRPr="007B4BA9" w:rsidRDefault="00905019" w:rsidP="00905019">
      <w:pPr>
        <w:ind w:left="360"/>
        <w:rPr>
          <w:rFonts w:ascii="Bell MT" w:hAnsi="Bell MT"/>
        </w:rPr>
      </w:pPr>
    </w:p>
    <w:p w14:paraId="12733FEB" w14:textId="5199A06C" w:rsidR="00907D08" w:rsidRPr="007B4BA9" w:rsidRDefault="00A0399A" w:rsidP="00905019">
      <w:pPr>
        <w:ind w:left="360"/>
        <w:rPr>
          <w:rFonts w:ascii="Bell MT" w:hAnsi="Bell MT"/>
        </w:rPr>
      </w:pPr>
      <w:r>
        <w:rPr>
          <w:rFonts w:ascii="Bell MT" w:hAnsi="Bell MT"/>
        </w:rPr>
        <w:t xml:space="preserve">Après la réception d’une plainte déposée par </w:t>
      </w:r>
      <w:proofErr w:type="spellStart"/>
      <w:r>
        <w:rPr>
          <w:rFonts w:ascii="Bell MT" w:hAnsi="Bell MT"/>
        </w:rPr>
        <w:t>Kalevi</w:t>
      </w:r>
      <w:proofErr w:type="spellEnd"/>
      <w:r>
        <w:rPr>
          <w:rFonts w:ascii="Bell MT" w:hAnsi="Bell MT"/>
        </w:rPr>
        <w:t xml:space="preserve"> </w:t>
      </w:r>
      <w:proofErr w:type="spellStart"/>
      <w:r>
        <w:rPr>
          <w:rFonts w:ascii="Bell MT" w:hAnsi="Bell MT"/>
        </w:rPr>
        <w:t>Haikola</w:t>
      </w:r>
      <w:proofErr w:type="spellEnd"/>
      <w:r>
        <w:rPr>
          <w:rFonts w:ascii="Bell MT" w:hAnsi="Bell MT"/>
        </w:rPr>
        <w:t xml:space="preserve">, le Commissariat à la protection de la vie privée (le « CPVP ») a présenté un rapport en mars 2017. Celui-ci a conclu que La Personnelle a enfreint certains principes de la </w:t>
      </w:r>
      <w:r>
        <w:rPr>
          <w:rFonts w:ascii="Bell MT" w:hAnsi="Bell MT"/>
          <w:i/>
        </w:rPr>
        <w:t xml:space="preserve">Loi sur la protection des renseignements personnels et les documents électroniques </w:t>
      </w:r>
      <w:r>
        <w:rPr>
          <w:rFonts w:ascii="Bell MT" w:hAnsi="Bell MT"/>
        </w:rPr>
        <w:t>(« LPRPDE ») Le CPVP a présenté des recommandations. La Personnelle a modifié ses procédures afin de ne plus recueillir ou utiliser le pointage de crédit de ses assurés comme exigence dans le cadre du processus de gestion des réclamations d'assurance automobile de La Personnelle en matière de prévention et de détection des fraudes.</w:t>
      </w:r>
    </w:p>
    <w:p w14:paraId="6A67D377" w14:textId="77777777" w:rsidR="002B29F0" w:rsidRPr="007B4BA9" w:rsidRDefault="002B29F0" w:rsidP="00905019">
      <w:pPr>
        <w:ind w:left="360"/>
        <w:rPr>
          <w:rFonts w:ascii="Bell MT" w:hAnsi="Bell MT"/>
        </w:rPr>
      </w:pPr>
    </w:p>
    <w:p w14:paraId="2C2865CE" w14:textId="77777777" w:rsidR="00905019" w:rsidRPr="007B4BA9" w:rsidRDefault="00A0399A" w:rsidP="005B248E">
      <w:pPr>
        <w:spacing w:after="240"/>
        <w:ind w:left="360"/>
        <w:rPr>
          <w:rFonts w:ascii="Bell MT" w:hAnsi="Bell MT"/>
        </w:rPr>
      </w:pPr>
      <w:r>
        <w:rPr>
          <w:rFonts w:ascii="Bell MT" w:hAnsi="Bell MT"/>
        </w:rPr>
        <w:t xml:space="preserve">M. </w:t>
      </w:r>
      <w:proofErr w:type="spellStart"/>
      <w:r>
        <w:rPr>
          <w:rFonts w:ascii="Bell MT" w:hAnsi="Bell MT"/>
        </w:rPr>
        <w:t>Haikola</w:t>
      </w:r>
      <w:proofErr w:type="spellEnd"/>
      <w:r>
        <w:rPr>
          <w:rFonts w:ascii="Bell MT" w:hAnsi="Bell MT"/>
        </w:rPr>
        <w:t xml:space="preserve"> (le « Demandeur ») a déposé un Recours collectif (le « Recours collectif ») contre La Personnelle et sa Société mère, Groupe d'assurances générales Desjardins (« Desjardins »), alléguant que les défendeurs avaient violé les droits à la vie privée des membres du Recours, et demandé des dommages-intérêts pour le Recours. Les défendeurs nient toute responsabilité et n'admettent pas la véracité des allégations portées contre eux.</w:t>
      </w:r>
    </w:p>
    <w:p w14:paraId="24D6670E" w14:textId="68289C0E" w:rsidR="005B248E" w:rsidRPr="007B4BA9" w:rsidRDefault="00A0399A" w:rsidP="005B248E">
      <w:pPr>
        <w:spacing w:after="240"/>
        <w:ind w:left="360"/>
        <w:rPr>
          <w:rFonts w:ascii="Bell MT" w:hAnsi="Bell MT"/>
        </w:rPr>
      </w:pPr>
      <w:r>
        <w:rPr>
          <w:rFonts w:ascii="Bell MT" w:hAnsi="Bell MT"/>
        </w:rPr>
        <w:t xml:space="preserve">Le Demandeur a également présenté une demande d'accès à l'information au CPVP.  Ce dossier faisait </w:t>
      </w:r>
      <w:r>
        <w:rPr>
          <w:rFonts w:ascii="Bell MT" w:hAnsi="Bell MT"/>
        </w:rPr>
        <w:lastRenderedPageBreak/>
        <w:t>l'objet d'une procédure judiciaire distincte dans laquelle La Personnelle avait demandé une révision judiciaire de la décision du commissaire à la protection de la vie privée de remettre des documents au Demandeur (les « Procédures connexes »).</w:t>
      </w:r>
    </w:p>
    <w:p w14:paraId="73DAF514" w14:textId="062C2A82" w:rsidR="007B4BA9" w:rsidRDefault="00712460" w:rsidP="005B248E">
      <w:pPr>
        <w:spacing w:after="240"/>
        <w:ind w:left="360"/>
        <w:rPr>
          <w:rFonts w:ascii="Bell MT" w:hAnsi="Bell MT"/>
        </w:rPr>
      </w:pPr>
      <w:r>
        <w:rPr>
          <w:rFonts w:ascii="Bell MT" w:hAnsi="Bell MT"/>
        </w:rPr>
        <w:t xml:space="preserve">Il convient de noter que ce Recours collectif n'a aucun lien avec la divulgation de renseignements personnels par Desjardins sans autorisation qui a été annoncée le 20 juin 2019. Ce dossier ne touche que les membres des caisses Desjardins. </w:t>
      </w:r>
    </w:p>
    <w:p w14:paraId="439673A0" w14:textId="77777777" w:rsidR="00712460" w:rsidRPr="007B4BA9" w:rsidRDefault="00712460" w:rsidP="005B248E">
      <w:pPr>
        <w:spacing w:after="240"/>
        <w:ind w:left="360"/>
        <w:rPr>
          <w:rFonts w:ascii="Bell MT" w:hAnsi="Bell MT"/>
        </w:rPr>
      </w:pPr>
    </w:p>
    <w:p w14:paraId="503C480C" w14:textId="77777777" w:rsidR="00EB3EB9" w:rsidRPr="007B4BA9" w:rsidRDefault="00A0399A" w:rsidP="005B248E">
      <w:pPr>
        <w:spacing w:after="240"/>
        <w:ind w:left="360"/>
        <w:rPr>
          <w:rFonts w:ascii="Bell MT" w:hAnsi="Bell MT"/>
        </w:rPr>
      </w:pPr>
      <w:r>
        <w:rPr>
          <w:rFonts w:ascii="Bell MT" w:hAnsi="Bell MT"/>
        </w:rPr>
        <w:t>Le Règlement est un compromis entre des réclamations contestées dans le but de parvenir à une résolution complète et définitive du Recours collectif et sans aucune admission, constatation de responsabilité ou acte répréhensible à l'encontre des défendeurs. Les défendeurs nient toute responsabilité et n'admettent pas la véracité des allégations portées contre eux. Si le Règlement n'est pas approuvé, ils défendront le Recours collectif et s'opposeront à son autorisation en tant que Recours collectif.</w:t>
      </w:r>
    </w:p>
    <w:p w14:paraId="33A4C489" w14:textId="77777777" w:rsidR="00905019" w:rsidRPr="007B4BA9" w:rsidRDefault="00A0399A" w:rsidP="007B4BA9">
      <w:pPr>
        <w:pStyle w:val="Titre1"/>
      </w:pPr>
      <w:r>
        <w:t xml:space="preserve">Autorisation </w:t>
      </w:r>
    </w:p>
    <w:p w14:paraId="53147CE2" w14:textId="77777777" w:rsidR="00BF1170" w:rsidRPr="007B4BA9" w:rsidRDefault="00A0399A" w:rsidP="00905019">
      <w:pPr>
        <w:spacing w:after="240"/>
        <w:ind w:left="360"/>
        <w:rPr>
          <w:rFonts w:ascii="Bell MT" w:hAnsi="Bell MT"/>
        </w:rPr>
      </w:pPr>
      <w:r>
        <w:rPr>
          <w:rFonts w:ascii="Bell MT" w:hAnsi="Bell MT"/>
        </w:rPr>
        <w:t xml:space="preserve">La Cour a autorisé le Recours collectif sur consentement comme un Recours collectif aux fins de Règlement négocié du Recours collectif. M. </w:t>
      </w:r>
      <w:proofErr w:type="spellStart"/>
      <w:r>
        <w:rPr>
          <w:rFonts w:ascii="Bell MT" w:hAnsi="Bell MT"/>
        </w:rPr>
        <w:t>Haikola</w:t>
      </w:r>
      <w:proofErr w:type="spellEnd"/>
      <w:r>
        <w:rPr>
          <w:rFonts w:ascii="Bell MT" w:hAnsi="Bell MT"/>
        </w:rPr>
        <w:t xml:space="preserve"> a été nommé représentant des demandeurs du Recours.  </w:t>
      </w:r>
    </w:p>
    <w:p w14:paraId="5407BE05" w14:textId="77777777" w:rsidR="00905019" w:rsidRPr="008D30CB" w:rsidRDefault="00A0399A" w:rsidP="007B4BA9">
      <w:pPr>
        <w:pStyle w:val="Titre1"/>
        <w:rPr>
          <w:sz w:val="32"/>
          <w:szCs w:val="32"/>
        </w:rPr>
      </w:pPr>
      <w:r>
        <w:rPr>
          <w:sz w:val="32"/>
          <w:szCs w:val="32"/>
        </w:rPr>
        <w:t>Règlement approuvé</w:t>
      </w:r>
    </w:p>
    <w:p w14:paraId="4811B070" w14:textId="77777777" w:rsidR="00BF1170" w:rsidRPr="007B4BA9" w:rsidRDefault="00A0399A" w:rsidP="00905019">
      <w:pPr>
        <w:spacing w:after="240"/>
        <w:ind w:left="360"/>
        <w:rPr>
          <w:rFonts w:ascii="Bell MT" w:hAnsi="Bell MT"/>
        </w:rPr>
      </w:pPr>
      <w:r>
        <w:rPr>
          <w:rFonts w:ascii="Bell MT" w:hAnsi="Bell MT"/>
        </w:rPr>
        <w:t xml:space="preserve">Les parties ont négocié un Règlement du Recours collectif ainsi que des procédures connexes (le « Règlement »), qui ont été approuvés par la Cour comme étant justes, raisonnables et dans l’intérêt supérieur du Recours.   </w:t>
      </w:r>
    </w:p>
    <w:p w14:paraId="69AAA4BB" w14:textId="77777777" w:rsidR="00907D08" w:rsidRPr="007B4BA9" w:rsidRDefault="00A0399A" w:rsidP="00907D08">
      <w:pPr>
        <w:spacing w:after="240"/>
        <w:ind w:left="360"/>
        <w:rPr>
          <w:rFonts w:ascii="Bell MT" w:hAnsi="Bell MT"/>
        </w:rPr>
      </w:pPr>
      <w:r>
        <w:rPr>
          <w:rFonts w:ascii="Bell MT" w:hAnsi="Bell MT"/>
        </w:rPr>
        <w:t>Le Règlement est un compromis entre des réclamations contestées dans le but de parvenir à une résolution complète et définitive du Recours collectif et sans admission, constatation de responsabilité ou acte répréhensible à l'encontre de La Personnelle ou Desjardins. Les défendeurs nient toute responsabilité et n'admettent pas la véracité des allégations portées contre eux. Si le Règlement n'avait pas été approuvé, ils auraient défendu le Recours collectif et se seraient opposés à son autorisation en tant que Recours collectif.</w:t>
      </w:r>
    </w:p>
    <w:p w14:paraId="527E974A" w14:textId="77777777" w:rsidR="00905019" w:rsidRPr="008D30CB" w:rsidRDefault="00A0399A" w:rsidP="007B4BA9">
      <w:pPr>
        <w:pStyle w:val="Titre1"/>
        <w:rPr>
          <w:sz w:val="32"/>
          <w:szCs w:val="32"/>
        </w:rPr>
      </w:pPr>
      <w:r>
        <w:rPr>
          <w:sz w:val="32"/>
          <w:szCs w:val="32"/>
        </w:rPr>
        <w:t>Modalités du Règlement</w:t>
      </w:r>
    </w:p>
    <w:p w14:paraId="2D9DB703" w14:textId="77777777" w:rsidR="00192343" w:rsidRDefault="00A0399A" w:rsidP="005B248E">
      <w:pPr>
        <w:tabs>
          <w:tab w:val="left" w:pos="360"/>
        </w:tabs>
        <w:spacing w:after="240"/>
        <w:ind w:left="360"/>
      </w:pPr>
      <w:r>
        <w:rPr>
          <w:rFonts w:ascii="Bell MT" w:hAnsi="Bell MT"/>
        </w:rPr>
        <w:t xml:space="preserve">Cet avis présente un résumé des modalités du Règlement.  De plus amples détails sur le Règlement, notamment une copie de l’entente de Règlement, du formulaire de réclamation et de l’autorisation de la Cour sont disponibles sur le site Web de l’administrateur des </w:t>
      </w:r>
      <w:proofErr w:type="gramStart"/>
      <w:r>
        <w:rPr>
          <w:rFonts w:ascii="Bell MT" w:hAnsi="Bell MT"/>
        </w:rPr>
        <w:t xml:space="preserve">réclamations  </w:t>
      </w:r>
      <w:r>
        <w:t>(</w:t>
      </w:r>
      <w:proofErr w:type="gramEnd"/>
      <w:r w:rsidR="00A771E7">
        <w:fldChar w:fldCharType="begin"/>
      </w:r>
      <w:r w:rsidR="00A771E7">
        <w:instrText xml:space="preserve"> HYPERLINK "https://www.classaction2.com/personalprivacy.html" </w:instrText>
      </w:r>
      <w:r w:rsidR="00A771E7">
        <w:fldChar w:fldCharType="separate"/>
      </w:r>
      <w:r>
        <w:rPr>
          <w:rStyle w:val="Lienhypertexte"/>
        </w:rPr>
        <w:t>https://www.classaction2.com/personalprivacy.html</w:t>
      </w:r>
      <w:r w:rsidR="00A771E7">
        <w:rPr>
          <w:rStyle w:val="Lienhypertexte"/>
        </w:rPr>
        <w:fldChar w:fldCharType="end"/>
      </w:r>
      <w:r>
        <w:t xml:space="preserve">) </w:t>
      </w:r>
    </w:p>
    <w:p w14:paraId="5D7EC74D" w14:textId="0933B7AF" w:rsidR="005B248E" w:rsidRPr="007B4BA9" w:rsidRDefault="00192343" w:rsidP="005B248E">
      <w:pPr>
        <w:tabs>
          <w:tab w:val="left" w:pos="360"/>
        </w:tabs>
        <w:spacing w:after="240"/>
        <w:ind w:left="360"/>
        <w:rPr>
          <w:rFonts w:ascii="Bell MT" w:hAnsi="Bell MT"/>
        </w:rPr>
      </w:pPr>
      <w:proofErr w:type="gramStart"/>
      <w:r>
        <w:t>ou</w:t>
      </w:r>
      <w:proofErr w:type="gramEnd"/>
      <w:r>
        <w:t xml:space="preserve"> du conseil juridique (</w:t>
      </w:r>
      <w:hyperlink r:id="rId8" w:history="1">
        <w:r>
          <w:rPr>
            <w:rStyle w:val="Lienhypertexte"/>
            <w:rFonts w:ascii="Bell MT" w:hAnsi="Bell MT"/>
          </w:rPr>
          <w:t>http://personalprivacyclassaction.ca</w:t>
        </w:r>
      </w:hyperlink>
      <w:r>
        <w:t>)</w:t>
      </w:r>
      <w:r>
        <w:rPr>
          <w:rFonts w:ascii="Bell MT" w:hAnsi="Bell MT"/>
        </w:rPr>
        <w:t xml:space="preserve">.   </w:t>
      </w:r>
    </w:p>
    <w:p w14:paraId="63B0B182" w14:textId="34A1EA9C" w:rsidR="00640AD6" w:rsidRPr="007B4BA9" w:rsidRDefault="00A0399A" w:rsidP="00640AD6">
      <w:pPr>
        <w:tabs>
          <w:tab w:val="left" w:pos="360"/>
        </w:tabs>
        <w:spacing w:after="240"/>
        <w:ind w:left="360"/>
        <w:rPr>
          <w:rFonts w:ascii="Bell MT" w:hAnsi="Bell MT"/>
        </w:rPr>
      </w:pPr>
      <w:r>
        <w:rPr>
          <w:rFonts w:ascii="Bell MT" w:hAnsi="Bell MT"/>
        </w:rPr>
        <w:t>En vertu du Règlement, les défendeurs ont payé 2 250 000 $ (le « Montant du règlement ») au Recours en guise de Règlement complet et définitif de toutes les réclamations à leur encontre, et recevront une quittance et un rejet du Recours collectif. Le Montant du règlement comprend tous les frais juridiques, les intérêts et les frais d’administration.</w:t>
      </w:r>
    </w:p>
    <w:p w14:paraId="0C96AE95" w14:textId="77777777" w:rsidR="00640AD6" w:rsidRPr="007B4BA9" w:rsidRDefault="00A0399A" w:rsidP="00640AD6">
      <w:pPr>
        <w:tabs>
          <w:tab w:val="left" w:pos="360"/>
        </w:tabs>
        <w:spacing w:after="240"/>
        <w:ind w:left="360"/>
        <w:rPr>
          <w:rFonts w:ascii="Bell MT" w:hAnsi="Bell MT"/>
        </w:rPr>
      </w:pPr>
      <w:r>
        <w:rPr>
          <w:rFonts w:ascii="Bell MT" w:hAnsi="Bell MT"/>
        </w:rPr>
        <w:lastRenderedPageBreak/>
        <w:t xml:space="preserve">50 000 $ du montant du Règlement seront versés aux avocats de M. </w:t>
      </w:r>
      <w:proofErr w:type="spellStart"/>
      <w:r>
        <w:rPr>
          <w:rFonts w:ascii="Bell MT" w:hAnsi="Bell MT"/>
        </w:rPr>
        <w:t>Haikola</w:t>
      </w:r>
      <w:proofErr w:type="spellEnd"/>
      <w:r>
        <w:rPr>
          <w:rFonts w:ascii="Bell MT" w:hAnsi="Bell MT"/>
        </w:rPr>
        <w:t xml:space="preserve"> pour les frais relatifs aux procédures connexes.  Le solde de 2 200 000 $ représente le « Fonds de règlement ».</w:t>
      </w:r>
    </w:p>
    <w:p w14:paraId="0BB44241" w14:textId="514C7BE3" w:rsidR="00640AD6" w:rsidRPr="007B4BA9" w:rsidRDefault="00A0399A" w:rsidP="00640AD6">
      <w:pPr>
        <w:tabs>
          <w:tab w:val="left" w:pos="360"/>
        </w:tabs>
        <w:spacing w:after="240"/>
        <w:ind w:left="360"/>
        <w:rPr>
          <w:rFonts w:ascii="Bell MT" w:hAnsi="Bell MT"/>
        </w:rPr>
      </w:pPr>
      <w:r>
        <w:rPr>
          <w:rFonts w:ascii="Bell MT" w:hAnsi="Bell MT"/>
        </w:rPr>
        <w:t>500 000 $ plus la TVH et les débours d'un montant de 20 000 $ seront versés par le Fonds de règlement au Conseil juridique du Recours pour ses honoraires juridiques dans le cadre du recours collectif.  Ces montants représentent environ 22,7 % du Fonds de règlement.  Le Conseil juridique n’a pas été payé depuis le début du présent Recours et les avocats travaillent dans le cadre d’un arrangement relatif aux honoraires conditionnels qui prévoit un versement de 25 % du produit de tout Règlement ou jugement.   La Cour a conclu que, les taxes et les déboursés d’un montant total de 585 000 $ étaient justes et raisonnables.</w:t>
      </w:r>
    </w:p>
    <w:p w14:paraId="1D5E6CF7" w14:textId="42612EAD" w:rsidR="00640AD6" w:rsidRPr="007B4BA9" w:rsidRDefault="00A0399A" w:rsidP="00640AD6">
      <w:pPr>
        <w:tabs>
          <w:tab w:val="left" w:pos="360"/>
        </w:tabs>
        <w:spacing w:after="240"/>
        <w:ind w:left="360"/>
        <w:rPr>
          <w:rFonts w:ascii="Bell MT" w:hAnsi="Bell MT"/>
        </w:rPr>
      </w:pPr>
      <w:r>
        <w:rPr>
          <w:rFonts w:ascii="Bell MT" w:hAnsi="Bell MT"/>
        </w:rPr>
        <w:t xml:space="preserve">La Cour a approuvé le versement d’une rétribution de 15 000 $ par le Fonds de règlement à M. </w:t>
      </w:r>
      <w:proofErr w:type="spellStart"/>
      <w:r>
        <w:rPr>
          <w:rFonts w:ascii="Bell MT" w:hAnsi="Bell MT"/>
        </w:rPr>
        <w:t>Haikola</w:t>
      </w:r>
      <w:proofErr w:type="spellEnd"/>
      <w:r>
        <w:rPr>
          <w:rFonts w:ascii="Bell MT" w:hAnsi="Bell MT"/>
        </w:rPr>
        <w:t>, pour ses efforts visant à former le Recours collectif au profit du Recours, en qualité de représentant demandeur.</w:t>
      </w:r>
    </w:p>
    <w:p w14:paraId="4A86FFCB" w14:textId="6E5C4C78" w:rsidR="00905019" w:rsidRPr="007B4BA9" w:rsidRDefault="00A0399A" w:rsidP="00640AD6">
      <w:pPr>
        <w:tabs>
          <w:tab w:val="left" w:pos="360"/>
        </w:tabs>
        <w:spacing w:after="240"/>
        <w:ind w:left="360"/>
        <w:rPr>
          <w:rFonts w:ascii="Bell MT" w:hAnsi="Bell MT"/>
        </w:rPr>
      </w:pPr>
      <w:r>
        <w:rPr>
          <w:rFonts w:ascii="Bell MT" w:hAnsi="Bell MT"/>
        </w:rPr>
        <w:t xml:space="preserve">Le solde du Fonds de règlement, moins les frais d'administration, sera distribué à tous les membres du Recours ayant soumis un formulaire valide avant la date limite de Réclamation, au </w:t>
      </w:r>
      <w:r>
        <w:rPr>
          <w:rFonts w:ascii="Bell MT" w:hAnsi="Bell MT"/>
          <w:i/>
          <w:iCs/>
        </w:rPr>
        <w:t xml:space="preserve">pro </w:t>
      </w:r>
      <w:proofErr w:type="gramStart"/>
      <w:r>
        <w:rPr>
          <w:rFonts w:ascii="Bell MT" w:hAnsi="Bell MT"/>
          <w:i/>
          <w:iCs/>
        </w:rPr>
        <w:t>rata</w:t>
      </w:r>
      <w:r>
        <w:rPr>
          <w:rFonts w:ascii="Bell MT" w:hAnsi="Bell MT"/>
        </w:rPr>
        <w:t xml:space="preserve"> .</w:t>
      </w:r>
      <w:proofErr w:type="gramEnd"/>
      <w:r>
        <w:rPr>
          <w:rFonts w:ascii="Bell MT" w:hAnsi="Bell MT"/>
        </w:rPr>
        <w:t xml:space="preserve">  </w:t>
      </w:r>
      <w:r>
        <w:rPr>
          <w:rFonts w:ascii="Bell MT" w:hAnsi="Bell MT"/>
          <w:b/>
        </w:rPr>
        <w:t>Les membres du Recours qui sont toujours des assurés de La Personnelle n'ont pas à remplir un formulaire de réclamation.  Ils seront automatiquement inclus dans la distribution du Fonds de règlement, à moins qu'ils ne choisissent de se retirer du Recours collectif</w:t>
      </w:r>
      <w:r>
        <w:rPr>
          <w:rFonts w:ascii="Bell MT" w:hAnsi="Bell MT"/>
        </w:rPr>
        <w:t>.</w:t>
      </w:r>
    </w:p>
    <w:p w14:paraId="380FF433" w14:textId="16D9E9EB" w:rsidR="002D1933" w:rsidRPr="007B4BA9" w:rsidRDefault="00A0399A" w:rsidP="00640AD6">
      <w:pPr>
        <w:tabs>
          <w:tab w:val="left" w:pos="360"/>
        </w:tabs>
        <w:spacing w:after="240"/>
        <w:ind w:left="360"/>
        <w:rPr>
          <w:rFonts w:ascii="Bell MT" w:hAnsi="Bell MT"/>
        </w:rPr>
      </w:pPr>
      <w:r>
        <w:rPr>
          <w:rFonts w:ascii="Bell MT" w:hAnsi="Bell MT"/>
          <w:b/>
          <w:highlight w:val="yellow"/>
        </w:rPr>
        <w:t xml:space="preserve">La date limite de Réclamation est le   </w:t>
      </w:r>
      <w:r w:rsidRPr="006F7ADF">
        <w:rPr>
          <w:rFonts w:ascii="Bell MT" w:hAnsi="Bell MT"/>
          <w:b/>
          <w:bCs/>
          <w:highlight w:val="yellow"/>
          <w:u w:val="single"/>
        </w:rPr>
        <w:t xml:space="preserve">7 février </w:t>
      </w:r>
      <w:proofErr w:type="gramStart"/>
      <w:r w:rsidRPr="006F7ADF">
        <w:rPr>
          <w:rFonts w:ascii="Bell MT" w:hAnsi="Bell MT"/>
          <w:b/>
          <w:bCs/>
          <w:highlight w:val="yellow"/>
          <w:u w:val="single"/>
        </w:rPr>
        <w:t>2020</w:t>
      </w:r>
      <w:r>
        <w:rPr>
          <w:rFonts w:ascii="Bell MT" w:hAnsi="Bell MT"/>
        </w:rPr>
        <w:t>,  et</w:t>
      </w:r>
      <w:proofErr w:type="gramEnd"/>
      <w:r>
        <w:rPr>
          <w:rFonts w:ascii="Bell MT" w:hAnsi="Bell MT"/>
        </w:rPr>
        <w:t xml:space="preserve"> passé ce délai, aucun formulaire de réclamation ne sera accepté ni valide. </w:t>
      </w:r>
    </w:p>
    <w:p w14:paraId="5718201E" w14:textId="22A1FB71" w:rsidR="00DE473D" w:rsidRPr="007B4BA9" w:rsidRDefault="00A0399A" w:rsidP="00640AD6">
      <w:pPr>
        <w:tabs>
          <w:tab w:val="left" w:pos="360"/>
        </w:tabs>
        <w:spacing w:after="240"/>
        <w:ind w:left="360"/>
        <w:rPr>
          <w:rFonts w:ascii="Bell MT" w:hAnsi="Bell MT"/>
        </w:rPr>
      </w:pPr>
      <w:r>
        <w:rPr>
          <w:rFonts w:ascii="Bell MT" w:hAnsi="Bell MT"/>
        </w:rPr>
        <w:t>Si vous n'êtes pas un assuré actuel de La Personnelle, ou si vous ne soumettez pas le formulaire de réclamation à l'administrateur des réclamations avant la date limite de réclamation, vous ne pourrez pas recevoir une part du Fonds de règlement.</w:t>
      </w:r>
    </w:p>
    <w:p w14:paraId="539505B3" w14:textId="77777777" w:rsidR="00DE473D" w:rsidRPr="007B4BA9" w:rsidRDefault="00A0399A" w:rsidP="00640AD6">
      <w:pPr>
        <w:tabs>
          <w:tab w:val="left" w:pos="360"/>
        </w:tabs>
        <w:spacing w:after="240"/>
        <w:ind w:left="360"/>
        <w:rPr>
          <w:rFonts w:ascii="Bell MT" w:hAnsi="Bell MT"/>
        </w:rPr>
      </w:pPr>
      <w:r>
        <w:rPr>
          <w:rFonts w:ascii="Bell MT" w:hAnsi="Bell MT"/>
        </w:rPr>
        <w:t xml:space="preserve">Les formulaires de réclamation sont disponibles pour téléchargement à l'adresse suivante : </w:t>
      </w:r>
    </w:p>
    <w:p w14:paraId="518727EF" w14:textId="3EC9FDC8" w:rsidR="00C01FD6" w:rsidRPr="00AC1FEF" w:rsidRDefault="00A771E7" w:rsidP="007B4BA9">
      <w:pPr>
        <w:pStyle w:val="Paragraphedeliste"/>
        <w:numPr>
          <w:ilvl w:val="0"/>
          <w:numId w:val="3"/>
        </w:numPr>
        <w:tabs>
          <w:tab w:val="left" w:pos="360"/>
        </w:tabs>
        <w:spacing w:after="240"/>
        <w:rPr>
          <w:rFonts w:ascii="Bell MT" w:hAnsi="Bell MT"/>
        </w:rPr>
      </w:pPr>
      <w:hyperlink r:id="rId9" w:history="1">
        <w:r w:rsidR="00163BCA">
          <w:rPr>
            <w:rStyle w:val="Lienhypertexte"/>
          </w:rPr>
          <w:t>https://www.classaction2.com/personalprivacy.html</w:t>
        </w:r>
      </w:hyperlink>
      <w:r w:rsidR="00163BCA">
        <w:t xml:space="preserve"> </w:t>
      </w:r>
      <w:r w:rsidR="00163BCA">
        <w:rPr>
          <w:rFonts w:ascii="Bell MT" w:hAnsi="Bell MT"/>
        </w:rPr>
        <w:t xml:space="preserve">ou </w:t>
      </w:r>
      <w:hyperlink r:id="rId10" w:history="1">
        <w:r w:rsidR="00163BCA">
          <w:rPr>
            <w:rStyle w:val="Lienhypertexte"/>
            <w:rFonts w:ascii="Bell MT" w:hAnsi="Bell MT"/>
          </w:rPr>
          <w:t>http://personalprivacyclassaction.ca</w:t>
        </w:r>
      </w:hyperlink>
      <w:r w:rsidR="00163BCA">
        <w:rPr>
          <w:rStyle w:val="Lienhypertexte"/>
          <w:rFonts w:ascii="Bell MT" w:hAnsi="Bell MT"/>
          <w:u w:val="none"/>
        </w:rPr>
        <w:t xml:space="preserve"> </w:t>
      </w:r>
      <w:r w:rsidR="00163BCA">
        <w:rPr>
          <w:rStyle w:val="Lienhypertexte"/>
          <w:rFonts w:ascii="Bell MT" w:hAnsi="Bell MT"/>
          <w:color w:val="auto"/>
          <w:u w:val="none"/>
        </w:rPr>
        <w:t xml:space="preserve">, </w:t>
      </w:r>
      <w:proofErr w:type="gramStart"/>
      <w:r w:rsidR="00163BCA">
        <w:rPr>
          <w:rStyle w:val="Lienhypertexte"/>
          <w:rFonts w:ascii="Bell MT" w:hAnsi="Bell MT"/>
          <w:color w:val="auto"/>
          <w:u w:val="none"/>
        </w:rPr>
        <w:t>ou</w:t>
      </w:r>
      <w:proofErr w:type="gramEnd"/>
    </w:p>
    <w:p w14:paraId="7E9C44A1" w14:textId="77777777" w:rsidR="00AC1FEF" w:rsidRDefault="00A0399A" w:rsidP="007B4BA9">
      <w:pPr>
        <w:pStyle w:val="Paragraphedeliste"/>
        <w:numPr>
          <w:ilvl w:val="0"/>
          <w:numId w:val="3"/>
        </w:numPr>
        <w:tabs>
          <w:tab w:val="left" w:pos="360"/>
        </w:tabs>
        <w:spacing w:after="240"/>
        <w:rPr>
          <w:rFonts w:ascii="Bell MT" w:hAnsi="Bell MT"/>
        </w:rPr>
      </w:pPr>
      <w:proofErr w:type="gramStart"/>
      <w:r>
        <w:rPr>
          <w:rFonts w:ascii="Bell MT" w:hAnsi="Bell MT"/>
        </w:rPr>
        <w:t>vous</w:t>
      </w:r>
      <w:proofErr w:type="gramEnd"/>
      <w:r>
        <w:rPr>
          <w:rFonts w:ascii="Bell MT" w:hAnsi="Bell MT"/>
        </w:rPr>
        <w:t xml:space="preserve"> pouvez demander une copie papier du formulaire de réclamation en contactant l’administrateur des réclamations à l’adresse suivante :  CA2 Inc., 9 Prince Arthur Avenue, Toronto, ON M5R 1B2 </w:t>
      </w:r>
    </w:p>
    <w:p w14:paraId="170885F6" w14:textId="09D6558A" w:rsidR="00254D6F" w:rsidRPr="007B4BA9" w:rsidRDefault="00AC1FEF" w:rsidP="00AC1FEF">
      <w:pPr>
        <w:pStyle w:val="Paragraphedeliste"/>
        <w:tabs>
          <w:tab w:val="left" w:pos="360"/>
        </w:tabs>
        <w:spacing w:after="240"/>
        <w:ind w:left="1080"/>
        <w:rPr>
          <w:rFonts w:ascii="Bell MT" w:hAnsi="Bell MT"/>
        </w:rPr>
      </w:pPr>
      <w:proofErr w:type="gramStart"/>
      <w:r>
        <w:rPr>
          <w:rFonts w:ascii="Bell MT" w:hAnsi="Bell MT"/>
        </w:rPr>
        <w:t>courriel</w:t>
      </w:r>
      <w:proofErr w:type="gramEnd"/>
      <w:r>
        <w:rPr>
          <w:rFonts w:ascii="Bell MT" w:hAnsi="Bell MT"/>
        </w:rPr>
        <w:t xml:space="preserve"> : </w:t>
      </w:r>
      <w:hyperlink r:id="rId11" w:history="1">
        <w:r>
          <w:rPr>
            <w:rStyle w:val="Lienhypertexte"/>
          </w:rPr>
          <w:t>personalprivacy@classaction2.com</w:t>
        </w:r>
      </w:hyperlink>
    </w:p>
    <w:p w14:paraId="3D07F15B" w14:textId="14C7BE35" w:rsidR="00254D6F" w:rsidRPr="007B4BA9" w:rsidRDefault="00A0399A" w:rsidP="00640AD6">
      <w:pPr>
        <w:tabs>
          <w:tab w:val="left" w:pos="360"/>
        </w:tabs>
        <w:spacing w:after="240"/>
        <w:ind w:left="360"/>
        <w:rPr>
          <w:rFonts w:ascii="Bell MT" w:hAnsi="Bell MT"/>
        </w:rPr>
      </w:pPr>
      <w:r>
        <w:rPr>
          <w:rFonts w:ascii="Bell MT" w:hAnsi="Bell MT"/>
        </w:rPr>
        <w:t>Le montant que chaque membre du Recours recevra dépendra du nombre total de formulaires de réclamation valides reçus par l'administrateur des réclamations et du coût total du processus d'administration des réclamations.  Il est estimé que si tous les membres du Recours soumettent un formulaire de réclamation valide, chaque membre recevra environ 150 $. S’il reste un montant résiduel dans le Fonds de règlement après le processus d'administration des réclamations, il sera payé au Centre pour la défense de l'intérêt public, un organisme à but non lucratif et charitable qui fournit des services juridiques et de recherche pour le compte des intérêts des consommateurs.</w:t>
      </w:r>
    </w:p>
    <w:p w14:paraId="74C2F25E" w14:textId="77777777" w:rsidR="00905019" w:rsidRPr="007B4BA9" w:rsidRDefault="00A0399A" w:rsidP="007B4BA9">
      <w:pPr>
        <w:pStyle w:val="Titre1"/>
      </w:pPr>
      <w:r>
        <w:t xml:space="preserve">Vos options </w:t>
      </w:r>
    </w:p>
    <w:tbl>
      <w:tblPr>
        <w:tblpPr w:leftFromText="180" w:rightFromText="180" w:vertAnchor="text" w:horzAnchor="margin" w:tblpY="20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861"/>
      </w:tblGrid>
      <w:tr w:rsidR="00014691" w:rsidRPr="007B4BA9" w14:paraId="33E1D1CB" w14:textId="77777777" w:rsidTr="007B4BA9">
        <w:trPr>
          <w:trHeight w:val="350"/>
        </w:trPr>
        <w:tc>
          <w:tcPr>
            <w:tcW w:w="2304" w:type="dxa"/>
          </w:tcPr>
          <w:p w14:paraId="5A6C646E" w14:textId="74357BC0" w:rsidR="00332C8E" w:rsidRDefault="00332C8E" w:rsidP="00332C8E">
            <w:pPr>
              <w:pStyle w:val="Paragraphedeliste"/>
              <w:keepNext/>
              <w:ind w:left="60"/>
              <w:jc w:val="center"/>
              <w:rPr>
                <w:rFonts w:ascii="Bell MT" w:hAnsi="Bell MT"/>
                <w:b/>
              </w:rPr>
            </w:pPr>
          </w:p>
          <w:p w14:paraId="0B05A37B" w14:textId="7BE27A7B" w:rsidR="00905019" w:rsidRPr="00332C8E" w:rsidRDefault="00332C8E" w:rsidP="00332C8E">
            <w:pPr>
              <w:pStyle w:val="Paragraphedeliste"/>
              <w:keepNext/>
              <w:numPr>
                <w:ilvl w:val="0"/>
                <w:numId w:val="5"/>
              </w:numPr>
              <w:ind w:left="60" w:firstLine="0"/>
              <w:jc w:val="left"/>
              <w:rPr>
                <w:rFonts w:ascii="Bell MT" w:hAnsi="Bell MT"/>
                <w:b/>
              </w:rPr>
            </w:pPr>
            <w:r>
              <w:rPr>
                <w:rFonts w:ascii="Bell MT" w:hAnsi="Bell MT"/>
                <w:b/>
              </w:rPr>
              <w:t xml:space="preserve"> </w:t>
            </w:r>
            <w:r>
              <w:rPr>
                <w:rFonts w:ascii="Bell MT" w:hAnsi="Bell MT"/>
                <w:b/>
              </w:rPr>
              <w:lastRenderedPageBreak/>
              <w:t>DEMEURER DANS LA POURSUITE</w:t>
            </w:r>
          </w:p>
        </w:tc>
        <w:tc>
          <w:tcPr>
            <w:tcW w:w="7861" w:type="dxa"/>
          </w:tcPr>
          <w:p w14:paraId="725D6033" w14:textId="77777777" w:rsidR="00905019" w:rsidRPr="007B4BA9" w:rsidRDefault="00A0399A" w:rsidP="00905019">
            <w:pPr>
              <w:keepNext/>
              <w:rPr>
                <w:rFonts w:ascii="Bell MT" w:hAnsi="Bell MT"/>
                <w:b/>
              </w:rPr>
            </w:pPr>
            <w:r>
              <w:rPr>
                <w:rFonts w:ascii="Bell MT" w:hAnsi="Bell MT"/>
                <w:b/>
              </w:rPr>
              <w:lastRenderedPageBreak/>
              <w:t>Recevoir une part du Fonds de règlement. Renoncer à certains droits.</w:t>
            </w:r>
          </w:p>
          <w:p w14:paraId="03407F6A" w14:textId="77777777" w:rsidR="00905019" w:rsidRPr="007B4BA9" w:rsidRDefault="00905019" w:rsidP="00905019">
            <w:pPr>
              <w:keepNext/>
              <w:rPr>
                <w:rFonts w:ascii="Bell MT" w:hAnsi="Bell MT"/>
                <w:b/>
              </w:rPr>
            </w:pPr>
          </w:p>
          <w:p w14:paraId="5C64B4C9" w14:textId="77777777" w:rsidR="002D1933" w:rsidRPr="007B4BA9" w:rsidRDefault="00A0399A" w:rsidP="00DE473D">
            <w:pPr>
              <w:spacing w:after="240"/>
              <w:rPr>
                <w:rFonts w:ascii="Bell MT" w:hAnsi="Bell MT"/>
              </w:rPr>
            </w:pPr>
            <w:r>
              <w:rPr>
                <w:rFonts w:ascii="Bell MT" w:hAnsi="Bell MT"/>
              </w:rPr>
              <w:lastRenderedPageBreak/>
              <w:t xml:space="preserve">Vous n'avez rien à faire pour participer au Recours collectif. </w:t>
            </w:r>
          </w:p>
          <w:p w14:paraId="7B975CF1" w14:textId="77777777" w:rsidR="00AC1FEF" w:rsidRDefault="00A0399A" w:rsidP="00905019">
            <w:pPr>
              <w:rPr>
                <w:rFonts w:ascii="Bell MT" w:hAnsi="Bell MT"/>
              </w:rPr>
            </w:pPr>
            <w:r>
              <w:rPr>
                <w:rFonts w:ascii="Bell MT" w:hAnsi="Bell MT"/>
              </w:rPr>
              <w:t>Si vous souhaitez recevoir une part du Fonds de règlement, vous devez remplir un formulaire de réclamation et le soumettre à l'administrateur des réclamations avant la date limite de réclamation.</w:t>
            </w:r>
          </w:p>
          <w:p w14:paraId="1095EB8B" w14:textId="77777777" w:rsidR="00AC1FEF" w:rsidRDefault="00AC1FEF" w:rsidP="00905019">
            <w:pPr>
              <w:rPr>
                <w:rFonts w:ascii="Bell MT" w:hAnsi="Bell MT"/>
              </w:rPr>
            </w:pPr>
          </w:p>
          <w:p w14:paraId="4FF5C53F" w14:textId="5415B61F" w:rsidR="00B76700" w:rsidRDefault="00475D05" w:rsidP="00905019">
            <w:pPr>
              <w:rPr>
                <w:rFonts w:ascii="Bell MT" w:hAnsi="Bell MT"/>
              </w:rPr>
            </w:pPr>
            <w:r>
              <w:rPr>
                <w:rFonts w:ascii="Bell MT" w:hAnsi="Bell MT"/>
              </w:rPr>
              <w:t xml:space="preserve">Les membres du Recours qui sont toujours des assurés de La Personnelle n'ont pas à remplir un formulaire de réclamation. Ils seront automatiquement inclus dans la distribution du Fonds de règlement et l'administrateur des réclamations postera directement les chèques de Règlement à leur dernière adresse connue au dossier de La Personnelle. </w:t>
            </w:r>
          </w:p>
          <w:p w14:paraId="5FF893CF" w14:textId="77777777" w:rsidR="00332C8E" w:rsidRPr="007B4BA9" w:rsidRDefault="00332C8E" w:rsidP="00905019">
            <w:pPr>
              <w:rPr>
                <w:rFonts w:ascii="Bell MT" w:hAnsi="Bell MT"/>
              </w:rPr>
            </w:pPr>
          </w:p>
          <w:p w14:paraId="1E787477" w14:textId="13737901" w:rsidR="002D1933" w:rsidRPr="007B4BA9" w:rsidRDefault="00B76700" w:rsidP="00905019">
            <w:pPr>
              <w:rPr>
                <w:rFonts w:ascii="Bell MT" w:hAnsi="Bell MT"/>
              </w:rPr>
            </w:pPr>
            <w:r>
              <w:rPr>
                <w:rFonts w:ascii="Bell MT" w:hAnsi="Bell MT"/>
              </w:rPr>
              <w:t>Si vous n'êtes pas certain que votre adresse postale soit la bonne ou si vous avez changé d’adresse récemment, veuillez contacter l'administrateur des réclamations.</w:t>
            </w:r>
          </w:p>
          <w:p w14:paraId="0E18C3DD" w14:textId="77777777" w:rsidR="002D1933" w:rsidRPr="007B4BA9" w:rsidRDefault="002D1933" w:rsidP="00905019">
            <w:pPr>
              <w:rPr>
                <w:rFonts w:ascii="Bell MT" w:hAnsi="Bell MT"/>
              </w:rPr>
            </w:pPr>
          </w:p>
          <w:p w14:paraId="133A0E14" w14:textId="6D5CBBF8" w:rsidR="00905019" w:rsidRPr="007B4BA9" w:rsidRDefault="00A0399A" w:rsidP="007B4BA9">
            <w:pPr>
              <w:rPr>
                <w:rFonts w:ascii="Bell MT" w:hAnsi="Bell MT"/>
              </w:rPr>
            </w:pPr>
            <w:r>
              <w:rPr>
                <w:rFonts w:ascii="Bell MT" w:hAnsi="Bell MT"/>
              </w:rPr>
              <w:t>Vous serez légalement contraint par l'ordonnance de la Cour ayant approuvé le Règlement et rejeté le Recours, y compris la quittance accordée aux défendeurs. Vous ne pourrez poursuivre aucune réclamation, plainte, demande, action ou poursuite contre les défendeurs ou des entités liées pour les mêmes réclamations que celles formulées ou qui auraient pu être formulées dans le Recours.</w:t>
            </w:r>
          </w:p>
        </w:tc>
      </w:tr>
      <w:tr w:rsidR="00014691" w:rsidRPr="006F7ADF" w14:paraId="76A6D74D" w14:textId="77777777" w:rsidTr="00905019">
        <w:trPr>
          <w:trHeight w:val="2000"/>
        </w:trPr>
        <w:tc>
          <w:tcPr>
            <w:tcW w:w="2304" w:type="dxa"/>
          </w:tcPr>
          <w:p w14:paraId="7157B8DE" w14:textId="77777777" w:rsidR="00332C8E" w:rsidRDefault="00332C8E" w:rsidP="00905019">
            <w:pPr>
              <w:keepNext/>
              <w:jc w:val="center"/>
              <w:rPr>
                <w:rFonts w:ascii="Bell MT" w:hAnsi="Bell MT"/>
                <w:b/>
              </w:rPr>
            </w:pPr>
          </w:p>
          <w:p w14:paraId="1EA3E5BA" w14:textId="7E5A0D52" w:rsidR="00905019" w:rsidRPr="00332C8E" w:rsidRDefault="00332C8E" w:rsidP="00332C8E">
            <w:pPr>
              <w:pStyle w:val="Paragraphedeliste"/>
              <w:keepNext/>
              <w:numPr>
                <w:ilvl w:val="0"/>
                <w:numId w:val="5"/>
              </w:numPr>
              <w:ind w:left="60" w:firstLine="0"/>
              <w:jc w:val="left"/>
              <w:rPr>
                <w:rFonts w:ascii="Bell MT" w:hAnsi="Bell MT"/>
                <w:b/>
              </w:rPr>
            </w:pPr>
            <w:r>
              <w:rPr>
                <w:rFonts w:ascii="Bell MT" w:hAnsi="Bell MT"/>
                <w:b/>
              </w:rPr>
              <w:t xml:space="preserve"> VOUS RETIRER DE CETTE POURSUITE</w:t>
            </w:r>
          </w:p>
          <w:p w14:paraId="10B0CC5E" w14:textId="77777777" w:rsidR="00905019" w:rsidRPr="007B4BA9" w:rsidRDefault="00A0399A" w:rsidP="00332C8E">
            <w:pPr>
              <w:keepNext/>
              <w:jc w:val="left"/>
              <w:rPr>
                <w:rFonts w:ascii="Bell MT" w:hAnsi="Bell MT"/>
                <w:b/>
              </w:rPr>
            </w:pPr>
            <w:r>
              <w:rPr>
                <w:rFonts w:ascii="Bell MT" w:hAnsi="Bell MT"/>
                <w:b/>
              </w:rPr>
              <w:t>(RETRAIT)</w:t>
            </w:r>
          </w:p>
        </w:tc>
        <w:tc>
          <w:tcPr>
            <w:tcW w:w="7861" w:type="dxa"/>
          </w:tcPr>
          <w:p w14:paraId="699CE3AD" w14:textId="77777777" w:rsidR="00905019" w:rsidRPr="007B4BA9" w:rsidRDefault="00A0399A" w:rsidP="00905019">
            <w:pPr>
              <w:keepNext/>
              <w:rPr>
                <w:rFonts w:ascii="Bell MT" w:hAnsi="Bell MT"/>
                <w:b/>
              </w:rPr>
            </w:pPr>
            <w:r>
              <w:rPr>
                <w:rFonts w:ascii="Bell MT" w:hAnsi="Bell MT"/>
                <w:b/>
              </w:rPr>
              <w:t xml:space="preserve">Vous </w:t>
            </w:r>
            <w:proofErr w:type="spellStart"/>
            <w:r>
              <w:rPr>
                <w:rFonts w:ascii="Bell MT" w:hAnsi="Bell MT"/>
                <w:b/>
              </w:rPr>
              <w:t>retirer</w:t>
            </w:r>
            <w:proofErr w:type="spellEnd"/>
            <w:r>
              <w:rPr>
                <w:rFonts w:ascii="Bell MT" w:hAnsi="Bell MT"/>
                <w:b/>
              </w:rPr>
              <w:t xml:space="preserve"> de cette poursuite. Vous n’obtiendrez pas d'argent ni d'autres avantages. Conserver vos droits.</w:t>
            </w:r>
          </w:p>
          <w:p w14:paraId="42D74029" w14:textId="77777777" w:rsidR="00905019" w:rsidRPr="007B4BA9" w:rsidRDefault="00905019" w:rsidP="00905019">
            <w:pPr>
              <w:keepNext/>
              <w:rPr>
                <w:rFonts w:ascii="Bell MT" w:hAnsi="Bell MT"/>
                <w:b/>
              </w:rPr>
            </w:pPr>
          </w:p>
          <w:p w14:paraId="56C53657" w14:textId="4D772E36" w:rsidR="00905019" w:rsidRPr="007B4BA9" w:rsidRDefault="00A0399A" w:rsidP="003C76AE">
            <w:pPr>
              <w:keepNext/>
              <w:spacing w:after="240"/>
              <w:rPr>
                <w:rFonts w:ascii="Bell MT" w:hAnsi="Bell MT"/>
              </w:rPr>
            </w:pPr>
            <w:r>
              <w:rPr>
                <w:rFonts w:ascii="Bell MT" w:hAnsi="Bell MT"/>
              </w:rPr>
              <w:t xml:space="preserve">Si vous ne souhaitez pas participer à ce Recours, vous devez vous retirer.  Vous ne ferez plus alors partie du Recours.  Vous ne serez pas autorisé à recevoir une part du Fonds de règlement et vous ne serez pas contraint par l'ordonnance de la Cour ayant approuvé le Règlement et accordé la quittance aux défendeurs.  Vous conserverez tout droit existant d’engager des poursuites envers les défendeurs à propos des mêmes droits par vous-même. </w:t>
            </w:r>
          </w:p>
          <w:p w14:paraId="66C29273" w14:textId="0003548F" w:rsidR="003C76AE" w:rsidRPr="007B4BA9" w:rsidRDefault="00A0399A" w:rsidP="003C76AE">
            <w:pPr>
              <w:keepNext/>
              <w:spacing w:after="240"/>
              <w:rPr>
                <w:rFonts w:ascii="Bell MT" w:hAnsi="Bell MT"/>
              </w:rPr>
            </w:pPr>
            <w:r>
              <w:rPr>
                <w:rFonts w:ascii="Bell MT" w:hAnsi="Bell MT"/>
              </w:rPr>
              <w:t>Si vous souhaitez vous retirer de ce Recours, vous devez envoyer un avis écrit à l'administrateur des réclamations au plus tard le 6 décembre 2019.</w:t>
            </w:r>
          </w:p>
          <w:p w14:paraId="517946BA" w14:textId="77777777" w:rsidR="003C76AE" w:rsidRPr="007B4BA9" w:rsidRDefault="00A0399A" w:rsidP="003C76AE">
            <w:pPr>
              <w:keepNext/>
              <w:spacing w:after="240"/>
              <w:rPr>
                <w:rFonts w:ascii="Bell MT" w:hAnsi="Bell MT"/>
              </w:rPr>
            </w:pPr>
            <w:r>
              <w:rPr>
                <w:rFonts w:ascii="Bell MT" w:hAnsi="Bell MT"/>
              </w:rPr>
              <w:t xml:space="preserve">Vous devez signer un avis de retrait et inclure votre nom complet, votre adresse et, si vous le connaissez, le numéro de police de votre police d'assurance automobile </w:t>
            </w:r>
            <w:bookmarkStart w:id="1" w:name="_GoBack"/>
            <w:r>
              <w:rPr>
                <w:rFonts w:ascii="Bell MT" w:hAnsi="Bell MT"/>
              </w:rPr>
              <w:t>émis</w:t>
            </w:r>
            <w:bookmarkEnd w:id="1"/>
            <w:r>
              <w:rPr>
                <w:rFonts w:ascii="Bell MT" w:hAnsi="Bell MT"/>
              </w:rPr>
              <w:t xml:space="preserve"> par La Personnelle.  </w:t>
            </w:r>
          </w:p>
          <w:p w14:paraId="349B3E90" w14:textId="1C69176C" w:rsidR="003C76AE" w:rsidRPr="007B4BA9" w:rsidRDefault="00A0399A" w:rsidP="003C76AE">
            <w:pPr>
              <w:keepNext/>
              <w:spacing w:after="240"/>
              <w:rPr>
                <w:rFonts w:ascii="Bell MT" w:hAnsi="Bell MT"/>
              </w:rPr>
            </w:pPr>
            <w:r>
              <w:rPr>
                <w:rFonts w:ascii="Bell MT" w:hAnsi="Bell MT"/>
              </w:rPr>
              <w:t>L’avis de retrait doit être envoyé au plus tard le 6 décembre 2019 à :</w:t>
            </w:r>
          </w:p>
          <w:p w14:paraId="123D0503" w14:textId="77777777" w:rsidR="00B2213F" w:rsidRPr="007B4BA9" w:rsidRDefault="00B2213F" w:rsidP="00B2213F">
            <w:pPr>
              <w:ind w:left="720"/>
              <w:rPr>
                <w:rFonts w:ascii="Bell MT" w:hAnsi="Bell MT"/>
              </w:rPr>
            </w:pPr>
            <w:r>
              <w:rPr>
                <w:rFonts w:ascii="Bell MT" w:hAnsi="Bell MT"/>
              </w:rPr>
              <w:t>Recours collectif en matière de protection de la vie privée</w:t>
            </w:r>
          </w:p>
          <w:p w14:paraId="49F5F611" w14:textId="77777777" w:rsidR="00B2213F" w:rsidRPr="006F7ADF" w:rsidRDefault="00B2213F" w:rsidP="00B2213F">
            <w:pPr>
              <w:ind w:left="720"/>
              <w:rPr>
                <w:rFonts w:ascii="Bell MT" w:hAnsi="Bell MT"/>
                <w:lang w:val="en-CA"/>
              </w:rPr>
            </w:pPr>
            <w:r w:rsidRPr="006F7ADF">
              <w:rPr>
                <w:rFonts w:ascii="Bell MT" w:hAnsi="Bell MT"/>
                <w:lang w:val="en-CA"/>
              </w:rPr>
              <w:t>a/s CA2 Inc.</w:t>
            </w:r>
          </w:p>
          <w:p w14:paraId="7BEDC9EE" w14:textId="77777777" w:rsidR="00B2213F" w:rsidRPr="006F7ADF" w:rsidRDefault="00B2213F" w:rsidP="00B2213F">
            <w:pPr>
              <w:ind w:left="720"/>
              <w:rPr>
                <w:rFonts w:ascii="Bell MT" w:hAnsi="Bell MT"/>
                <w:lang w:val="en-CA"/>
              </w:rPr>
            </w:pPr>
            <w:r w:rsidRPr="006F7ADF">
              <w:rPr>
                <w:rFonts w:ascii="Bell MT" w:hAnsi="Bell MT"/>
                <w:lang w:val="en-CA"/>
              </w:rPr>
              <w:t>9 Prince Arthur Avenue</w:t>
            </w:r>
          </w:p>
          <w:p w14:paraId="535097E1" w14:textId="77777777" w:rsidR="00B2213F" w:rsidRPr="006F7ADF" w:rsidRDefault="00B2213F" w:rsidP="00B2213F">
            <w:pPr>
              <w:ind w:left="720"/>
              <w:rPr>
                <w:rFonts w:ascii="Bell MT" w:hAnsi="Bell MT"/>
                <w:lang w:val="en-CA"/>
              </w:rPr>
            </w:pPr>
            <w:r w:rsidRPr="006F7ADF">
              <w:rPr>
                <w:rFonts w:ascii="Bell MT" w:hAnsi="Bell MT"/>
                <w:lang w:val="en-CA"/>
              </w:rPr>
              <w:t xml:space="preserve">Toronto (Ontario) </w:t>
            </w:r>
          </w:p>
          <w:p w14:paraId="3F13D388" w14:textId="2970C5B5" w:rsidR="00332C8E" w:rsidRPr="006F7ADF" w:rsidRDefault="00B2213F" w:rsidP="00712460">
            <w:pPr>
              <w:spacing w:after="240"/>
              <w:ind w:left="720"/>
              <w:jc w:val="left"/>
              <w:rPr>
                <w:rFonts w:ascii="Bell MT" w:hAnsi="Bell MT"/>
                <w:color w:val="0000FF"/>
                <w:u w:val="single"/>
                <w:lang w:val="en-CA"/>
              </w:rPr>
            </w:pPr>
            <w:r w:rsidRPr="006F7ADF">
              <w:rPr>
                <w:rFonts w:ascii="Bell MT" w:hAnsi="Bell MT"/>
                <w:lang w:val="en-CA"/>
              </w:rPr>
              <w:t>M5R 1B2</w:t>
            </w:r>
            <w:r w:rsidRPr="006F7ADF">
              <w:rPr>
                <w:rFonts w:ascii="Bell MT" w:hAnsi="Bell MT"/>
                <w:lang w:val="en-CA"/>
              </w:rPr>
              <w:br/>
            </w:r>
            <w:hyperlink r:id="rId12" w:history="1">
              <w:r w:rsidRPr="006F7ADF">
                <w:rPr>
                  <w:rStyle w:val="Lienhypertexte"/>
                  <w:lang w:val="en-CA"/>
                </w:rPr>
                <w:t>personalprivacy@classaction2.com</w:t>
              </w:r>
            </w:hyperlink>
          </w:p>
        </w:tc>
      </w:tr>
    </w:tbl>
    <w:p w14:paraId="799EAF70" w14:textId="77777777" w:rsidR="00905019" w:rsidRPr="006F7ADF" w:rsidRDefault="00905019" w:rsidP="00905019">
      <w:pPr>
        <w:rPr>
          <w:rFonts w:ascii="Bell MT" w:hAnsi="Bell MT"/>
          <w:lang w:val="en-CA"/>
        </w:rPr>
      </w:pPr>
    </w:p>
    <w:p w14:paraId="57BD4F4D" w14:textId="77777777" w:rsidR="00905019" w:rsidRPr="006F7ADF" w:rsidRDefault="00905019" w:rsidP="00905019">
      <w:pPr>
        <w:rPr>
          <w:rFonts w:ascii="Bell MT" w:hAnsi="Bell MT"/>
          <w:b/>
          <w:color w:val="000000"/>
          <w:lang w:val="en-CA"/>
        </w:rPr>
      </w:pPr>
    </w:p>
    <w:p w14:paraId="24EC9582" w14:textId="35AB31BC" w:rsidR="007B4BA9" w:rsidRDefault="00A0399A" w:rsidP="007B4BA9">
      <w:pPr>
        <w:ind w:left="450"/>
        <w:rPr>
          <w:rFonts w:ascii="Bell MT" w:hAnsi="Bell MT"/>
          <w:color w:val="000000"/>
        </w:rPr>
      </w:pPr>
      <w:r>
        <w:rPr>
          <w:rFonts w:ascii="Bell MT" w:hAnsi="Bell MT"/>
          <w:color w:val="000000"/>
        </w:rPr>
        <w:t xml:space="preserve">Vous pouvez obtenir des renseignements supplémentaires au présent avis ou au Recours collectif en consultant le site Web du Conseil juridique à l'adresse suivante : </w:t>
      </w:r>
      <w:hyperlink r:id="rId13" w:history="1">
        <w:r>
          <w:rPr>
            <w:rStyle w:val="Lienhypertexte"/>
            <w:rFonts w:ascii="Bell MT" w:hAnsi="Bell MT"/>
          </w:rPr>
          <w:t>http://personalprivacyclassaction.ca</w:t>
        </w:r>
      </w:hyperlink>
      <w:r>
        <w:rPr>
          <w:rFonts w:ascii="Bell MT" w:hAnsi="Bell MT"/>
          <w:color w:val="000000"/>
        </w:rPr>
        <w:t xml:space="preserve">.    </w:t>
      </w:r>
    </w:p>
    <w:p w14:paraId="229CE7F1" w14:textId="77777777" w:rsidR="007B4BA9" w:rsidRDefault="007B4BA9" w:rsidP="007B4BA9">
      <w:pPr>
        <w:ind w:left="450"/>
        <w:rPr>
          <w:rFonts w:ascii="Bell MT" w:hAnsi="Bell MT"/>
          <w:color w:val="000000"/>
        </w:rPr>
      </w:pPr>
    </w:p>
    <w:p w14:paraId="3807C146" w14:textId="77777777" w:rsidR="007B4BA9" w:rsidRDefault="00A0399A" w:rsidP="007B4BA9">
      <w:pPr>
        <w:ind w:left="450"/>
        <w:rPr>
          <w:rFonts w:ascii="Bell MT" w:hAnsi="Bell MT"/>
          <w:color w:val="000000"/>
        </w:rPr>
      </w:pPr>
      <w:r>
        <w:rPr>
          <w:rFonts w:ascii="Bell MT" w:hAnsi="Bell MT"/>
          <w:color w:val="000000"/>
        </w:rPr>
        <w:t>Si vous avez des questions sur le Règlement ou sur vos droits potentiels en vertu du Règlement, vous pouvez contacter l’administrateur des réclamations.</w:t>
      </w:r>
    </w:p>
    <w:p w14:paraId="7343451F" w14:textId="77777777" w:rsidR="007B4BA9" w:rsidRDefault="007B4BA9" w:rsidP="007B4BA9">
      <w:pPr>
        <w:ind w:left="450"/>
        <w:rPr>
          <w:rFonts w:ascii="Bell MT" w:hAnsi="Bell MT"/>
          <w:color w:val="000000"/>
        </w:rPr>
      </w:pPr>
    </w:p>
    <w:p w14:paraId="561DBFC0" w14:textId="05A05757" w:rsidR="007B4BA9" w:rsidRPr="007B4BA9" w:rsidRDefault="00277397" w:rsidP="007B4BA9">
      <w:pPr>
        <w:ind w:left="450"/>
        <w:rPr>
          <w:rFonts w:ascii="Bell MT" w:hAnsi="Bell MT"/>
          <w:color w:val="000000"/>
        </w:rPr>
      </w:pPr>
      <w:r>
        <w:rPr>
          <w:rFonts w:ascii="Bell MT" w:hAnsi="Bell MT"/>
          <w:color w:val="000000"/>
        </w:rPr>
        <w:t xml:space="preserve">Si vous avez des questions sur ce Recours ou sur le « retrait », veuillez contacter le Conseil juridique. </w:t>
      </w:r>
    </w:p>
    <w:p w14:paraId="1130EBDA" w14:textId="77777777" w:rsidR="00277397" w:rsidRPr="007B4BA9" w:rsidRDefault="00277397" w:rsidP="00A0399A">
      <w:pPr>
        <w:rPr>
          <w:rFonts w:ascii="Bell MT" w:hAnsi="Bell MT"/>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0399A" w:rsidRPr="007B4BA9" w14:paraId="26142999" w14:textId="77777777" w:rsidTr="007B4BA9">
        <w:tc>
          <w:tcPr>
            <w:tcW w:w="5035" w:type="dxa"/>
          </w:tcPr>
          <w:p w14:paraId="08366A79" w14:textId="77777777" w:rsidR="00A0399A" w:rsidRPr="007B4BA9" w:rsidRDefault="00A0399A" w:rsidP="00475D05">
            <w:pPr>
              <w:jc w:val="center"/>
              <w:rPr>
                <w:rFonts w:ascii="Gill Sans MT" w:hAnsi="Gill Sans MT"/>
                <w:b/>
                <w:color w:val="000000"/>
                <w:u w:val="single"/>
              </w:rPr>
            </w:pPr>
            <w:r>
              <w:rPr>
                <w:rFonts w:ascii="Gill Sans MT" w:hAnsi="Gill Sans MT"/>
                <w:b/>
                <w:color w:val="000000"/>
                <w:u w:val="single"/>
              </w:rPr>
              <w:t>ADMINISTRATEUR DES RÉCLAMATIONS</w:t>
            </w:r>
          </w:p>
          <w:p w14:paraId="2A9F582F" w14:textId="77777777" w:rsidR="00A0399A" w:rsidRPr="007B4BA9" w:rsidRDefault="00A0399A" w:rsidP="00475D05">
            <w:pPr>
              <w:jc w:val="center"/>
              <w:rPr>
                <w:rFonts w:ascii="Bell MT" w:hAnsi="Bell MT"/>
                <w:b/>
                <w:color w:val="000000"/>
                <w:u w:val="single"/>
              </w:rPr>
            </w:pPr>
          </w:p>
          <w:p w14:paraId="3E06CDB4" w14:textId="77777777" w:rsidR="00A0399A" w:rsidRPr="007B4BA9" w:rsidRDefault="00A0399A" w:rsidP="00475D05">
            <w:pPr>
              <w:jc w:val="center"/>
              <w:rPr>
                <w:rFonts w:ascii="Bell MT" w:hAnsi="Bell MT"/>
                <w:b/>
                <w:color w:val="000000"/>
              </w:rPr>
            </w:pPr>
            <w:r>
              <w:rPr>
                <w:rFonts w:ascii="Bell MT" w:hAnsi="Bell MT"/>
                <w:b/>
                <w:color w:val="000000"/>
              </w:rPr>
              <w:t>CA2 Inc.</w:t>
            </w:r>
          </w:p>
          <w:p w14:paraId="260E48EF" w14:textId="77777777" w:rsidR="00A0399A" w:rsidRPr="006F7ADF" w:rsidRDefault="00A0399A" w:rsidP="00475D05">
            <w:pPr>
              <w:jc w:val="center"/>
              <w:rPr>
                <w:rFonts w:ascii="Bell MT" w:hAnsi="Bell MT"/>
                <w:color w:val="000000"/>
                <w:lang w:val="en-CA"/>
              </w:rPr>
            </w:pPr>
            <w:r w:rsidRPr="006F7ADF">
              <w:rPr>
                <w:rFonts w:ascii="Bell MT" w:hAnsi="Bell MT"/>
                <w:color w:val="000000"/>
                <w:lang w:val="en-CA"/>
              </w:rPr>
              <w:t>9 Prince Arthur Avenue</w:t>
            </w:r>
          </w:p>
          <w:p w14:paraId="0D10CACD" w14:textId="77777777" w:rsidR="00A0399A" w:rsidRPr="006F7ADF" w:rsidRDefault="00A0399A" w:rsidP="00475D05">
            <w:pPr>
              <w:jc w:val="center"/>
              <w:rPr>
                <w:rFonts w:ascii="Bell MT" w:hAnsi="Bell MT"/>
                <w:color w:val="000000"/>
                <w:lang w:val="en-CA"/>
              </w:rPr>
            </w:pPr>
            <w:r w:rsidRPr="006F7ADF">
              <w:rPr>
                <w:rFonts w:ascii="Bell MT" w:hAnsi="Bell MT"/>
                <w:color w:val="000000"/>
                <w:lang w:val="en-CA"/>
              </w:rPr>
              <w:t xml:space="preserve">Toronto, </w:t>
            </w:r>
            <w:proofErr w:type="gramStart"/>
            <w:r w:rsidRPr="006F7ADF">
              <w:rPr>
                <w:rFonts w:ascii="Bell MT" w:hAnsi="Bell MT"/>
                <w:color w:val="000000"/>
                <w:lang w:val="en-CA"/>
              </w:rPr>
              <w:t>ON  M</w:t>
            </w:r>
            <w:proofErr w:type="gramEnd"/>
            <w:r w:rsidRPr="006F7ADF">
              <w:rPr>
                <w:rFonts w:ascii="Bell MT" w:hAnsi="Bell MT"/>
                <w:color w:val="000000"/>
                <w:lang w:val="en-CA"/>
              </w:rPr>
              <w:t>5R 1B2</w:t>
            </w:r>
          </w:p>
          <w:p w14:paraId="707B62F8" w14:textId="77777777" w:rsidR="004E59CD" w:rsidRPr="00935888" w:rsidRDefault="004E59CD" w:rsidP="004E59CD">
            <w:pPr>
              <w:jc w:val="center"/>
            </w:pPr>
            <w:r>
              <w:t>personalprivacy@classaction2.com</w:t>
            </w:r>
            <w:r>
              <w:rPr>
                <w:rFonts w:ascii="Bell MT" w:hAnsi="Bell MT"/>
                <w:color w:val="000000"/>
              </w:rPr>
              <w:t xml:space="preserve">  </w:t>
            </w:r>
          </w:p>
          <w:p w14:paraId="4890C831" w14:textId="603353D0" w:rsidR="004E59CD" w:rsidRPr="00BC5814" w:rsidRDefault="004E59CD" w:rsidP="004E59CD">
            <w:pPr>
              <w:jc w:val="center"/>
              <w:rPr>
                <w:rFonts w:ascii="Bell MT" w:hAnsi="Bell MT"/>
                <w:color w:val="000000"/>
              </w:rPr>
            </w:pPr>
            <w:r>
              <w:rPr>
                <w:rFonts w:ascii="Bell MT" w:hAnsi="Bell MT"/>
                <w:color w:val="000000"/>
              </w:rPr>
              <w:t>Tél. :  1 800 538-0009</w:t>
            </w:r>
          </w:p>
          <w:p w14:paraId="7BE743A0" w14:textId="59A31672" w:rsidR="00A0399A" w:rsidRPr="007B4BA9" w:rsidRDefault="00A0399A" w:rsidP="00475D05">
            <w:pPr>
              <w:jc w:val="center"/>
              <w:rPr>
                <w:rFonts w:ascii="Bell MT" w:hAnsi="Bell MT"/>
                <w:b/>
                <w:color w:val="000000"/>
              </w:rPr>
            </w:pPr>
            <w:proofErr w:type="spellStart"/>
            <w:r>
              <w:rPr>
                <w:rFonts w:ascii="Bell MT" w:hAnsi="Bell MT"/>
                <w:b/>
                <w:color w:val="000000"/>
              </w:rPr>
              <w:t>Attn</w:t>
            </w:r>
            <w:proofErr w:type="spellEnd"/>
            <w:r>
              <w:rPr>
                <w:rFonts w:ascii="Bell MT" w:hAnsi="Bell MT"/>
                <w:b/>
                <w:color w:val="000000"/>
              </w:rPr>
              <w:t> : Recours collectif en matière de protection de la vie privée</w:t>
            </w:r>
          </w:p>
        </w:tc>
        <w:tc>
          <w:tcPr>
            <w:tcW w:w="5035" w:type="dxa"/>
          </w:tcPr>
          <w:p w14:paraId="721A5BBD" w14:textId="77777777" w:rsidR="00A0399A" w:rsidRPr="006F7ADF" w:rsidRDefault="00A0399A" w:rsidP="00475D05">
            <w:pPr>
              <w:jc w:val="center"/>
              <w:rPr>
                <w:rFonts w:ascii="Gill Sans MT" w:hAnsi="Gill Sans MT"/>
                <w:b/>
                <w:color w:val="000000"/>
                <w:u w:val="single"/>
                <w:lang w:val="en-CA"/>
              </w:rPr>
            </w:pPr>
            <w:r w:rsidRPr="006F7ADF">
              <w:rPr>
                <w:rFonts w:ascii="Gill Sans MT" w:hAnsi="Gill Sans MT"/>
                <w:b/>
                <w:color w:val="000000"/>
                <w:u w:val="single"/>
                <w:lang w:val="en-CA"/>
              </w:rPr>
              <w:t>CONSEIL JURIDIQUE</w:t>
            </w:r>
          </w:p>
          <w:p w14:paraId="783E635C" w14:textId="77777777" w:rsidR="00A0399A" w:rsidRPr="006F7ADF" w:rsidRDefault="00A0399A" w:rsidP="00475D05">
            <w:pPr>
              <w:rPr>
                <w:rFonts w:ascii="Bell MT" w:hAnsi="Bell MT"/>
                <w:b/>
                <w:color w:val="000000"/>
                <w:lang w:val="en-CA"/>
              </w:rPr>
            </w:pPr>
          </w:p>
          <w:p w14:paraId="0C76AA73" w14:textId="77777777" w:rsidR="00A0399A" w:rsidRPr="006F7ADF" w:rsidRDefault="00A0399A" w:rsidP="00475D05">
            <w:pPr>
              <w:jc w:val="center"/>
              <w:rPr>
                <w:rFonts w:ascii="Bell MT" w:hAnsi="Bell MT"/>
                <w:b/>
                <w:color w:val="000000"/>
                <w:lang w:val="en-CA"/>
              </w:rPr>
            </w:pPr>
            <w:r w:rsidRPr="006F7ADF">
              <w:rPr>
                <w:rFonts w:ascii="Bell MT" w:hAnsi="Bell MT"/>
                <w:b/>
                <w:color w:val="000000"/>
                <w:lang w:val="en-CA"/>
              </w:rPr>
              <w:t>WADDELL PHILLIPS PC</w:t>
            </w:r>
          </w:p>
          <w:p w14:paraId="3F75B227" w14:textId="77777777" w:rsidR="00A0399A" w:rsidRPr="006F7ADF" w:rsidRDefault="00A0399A" w:rsidP="00475D05">
            <w:pPr>
              <w:jc w:val="center"/>
              <w:rPr>
                <w:rFonts w:ascii="Bell MT" w:hAnsi="Bell MT"/>
                <w:color w:val="000000"/>
                <w:lang w:val="en-CA"/>
              </w:rPr>
            </w:pPr>
            <w:r w:rsidRPr="006F7ADF">
              <w:rPr>
                <w:rFonts w:ascii="Bell MT" w:hAnsi="Bell MT"/>
                <w:color w:val="000000"/>
                <w:lang w:val="en-CA"/>
              </w:rPr>
              <w:t>36 Toronto Street, Suite 1120</w:t>
            </w:r>
          </w:p>
          <w:p w14:paraId="21405ABC" w14:textId="77777777" w:rsidR="00A0399A" w:rsidRPr="006F7ADF" w:rsidRDefault="00A0399A" w:rsidP="00475D05">
            <w:pPr>
              <w:jc w:val="center"/>
              <w:rPr>
                <w:rFonts w:ascii="Bell MT" w:hAnsi="Bell MT"/>
                <w:color w:val="000000"/>
                <w:lang w:val="en-CA"/>
              </w:rPr>
            </w:pPr>
            <w:r w:rsidRPr="006F7ADF">
              <w:rPr>
                <w:rFonts w:ascii="Bell MT" w:hAnsi="Bell MT"/>
                <w:color w:val="000000"/>
                <w:lang w:val="en-CA"/>
              </w:rPr>
              <w:t xml:space="preserve">Toronto, </w:t>
            </w:r>
            <w:proofErr w:type="gramStart"/>
            <w:r w:rsidRPr="006F7ADF">
              <w:rPr>
                <w:rFonts w:ascii="Bell MT" w:hAnsi="Bell MT"/>
                <w:color w:val="000000"/>
                <w:lang w:val="en-CA"/>
              </w:rPr>
              <w:t>ON  M</w:t>
            </w:r>
            <w:proofErr w:type="gramEnd"/>
            <w:r w:rsidRPr="006F7ADF">
              <w:rPr>
                <w:rFonts w:ascii="Bell MT" w:hAnsi="Bell MT"/>
                <w:color w:val="000000"/>
                <w:lang w:val="en-CA"/>
              </w:rPr>
              <w:t>5C 2C5</w:t>
            </w:r>
          </w:p>
          <w:p w14:paraId="3CE5AC99" w14:textId="77777777" w:rsidR="00A0399A" w:rsidRPr="007B4BA9" w:rsidRDefault="00A771E7" w:rsidP="00475D05">
            <w:pPr>
              <w:jc w:val="center"/>
              <w:rPr>
                <w:rFonts w:ascii="Bell MT" w:hAnsi="Bell MT"/>
                <w:color w:val="000000"/>
              </w:rPr>
            </w:pPr>
            <w:hyperlink r:id="rId14" w:history="1">
              <w:r w:rsidR="00163BCA">
                <w:rPr>
                  <w:rStyle w:val="Lienhypertexte"/>
                  <w:rFonts w:ascii="Bell MT" w:hAnsi="Bell MT"/>
                </w:rPr>
                <w:t>reception@waddellphillips.ca</w:t>
              </w:r>
            </w:hyperlink>
            <w:r w:rsidR="00163BCA">
              <w:rPr>
                <w:rFonts w:ascii="Bell MT" w:hAnsi="Bell MT"/>
              </w:rPr>
              <w:t xml:space="preserve"> </w:t>
            </w:r>
          </w:p>
          <w:p w14:paraId="521B3C4D" w14:textId="67A158D5" w:rsidR="00A0399A" w:rsidRPr="007B4BA9" w:rsidRDefault="004E59CD" w:rsidP="00475D05">
            <w:pPr>
              <w:jc w:val="center"/>
              <w:rPr>
                <w:rFonts w:ascii="Bell MT" w:hAnsi="Bell MT"/>
                <w:color w:val="000000"/>
              </w:rPr>
            </w:pPr>
            <w:r>
              <w:rPr>
                <w:rFonts w:ascii="Bell MT" w:hAnsi="Bell MT"/>
                <w:color w:val="000000"/>
              </w:rPr>
              <w:t>Tél. :   1 888 684-5545</w:t>
            </w:r>
          </w:p>
          <w:p w14:paraId="79E54430" w14:textId="77777777" w:rsidR="00A0399A" w:rsidRPr="007B4BA9" w:rsidRDefault="00A0399A" w:rsidP="00475D05">
            <w:pPr>
              <w:jc w:val="center"/>
              <w:rPr>
                <w:rFonts w:ascii="Bell MT" w:hAnsi="Bell MT"/>
                <w:color w:val="000000"/>
              </w:rPr>
            </w:pPr>
            <w:r>
              <w:rPr>
                <w:rFonts w:ascii="Bell MT" w:hAnsi="Bell MT"/>
                <w:color w:val="000000"/>
              </w:rPr>
              <w:t>Fax :  416 477-1657</w:t>
            </w:r>
          </w:p>
          <w:p w14:paraId="6B75ED0E" w14:textId="5CA7EF5B" w:rsidR="00A0399A" w:rsidRPr="007B4BA9" w:rsidRDefault="00A0399A" w:rsidP="00475D05">
            <w:pPr>
              <w:jc w:val="center"/>
              <w:rPr>
                <w:rFonts w:ascii="Bell MT" w:hAnsi="Bell MT"/>
                <w:b/>
                <w:color w:val="000000"/>
              </w:rPr>
            </w:pPr>
            <w:proofErr w:type="spellStart"/>
            <w:r>
              <w:rPr>
                <w:rFonts w:ascii="Bell MT" w:hAnsi="Bell MT"/>
                <w:b/>
                <w:color w:val="000000"/>
              </w:rPr>
              <w:t>Attn</w:t>
            </w:r>
            <w:proofErr w:type="spellEnd"/>
            <w:r>
              <w:rPr>
                <w:rFonts w:ascii="Bell MT" w:hAnsi="Bell MT"/>
                <w:b/>
                <w:color w:val="000000"/>
              </w:rPr>
              <w:t> : Recours collectif en matière de protection de la vie privée</w:t>
            </w:r>
          </w:p>
        </w:tc>
      </w:tr>
    </w:tbl>
    <w:p w14:paraId="022C7271" w14:textId="5903DE09" w:rsidR="00905019" w:rsidRPr="007B4BA9" w:rsidRDefault="00905019" w:rsidP="00905019">
      <w:pPr>
        <w:rPr>
          <w:rFonts w:ascii="Bell MT" w:hAnsi="Bell MT"/>
          <w:color w:val="000000"/>
        </w:rPr>
      </w:pPr>
    </w:p>
    <w:p w14:paraId="7E2F0F85" w14:textId="2B7A3F12" w:rsidR="007B1B0E" w:rsidRPr="007B4BA9" w:rsidRDefault="00A0399A" w:rsidP="00905019">
      <w:pPr>
        <w:rPr>
          <w:rFonts w:ascii="Bell MT" w:hAnsi="Bell MT"/>
        </w:rPr>
      </w:pPr>
      <w:r>
        <w:rPr>
          <w:rFonts w:ascii="Bell MT" w:hAnsi="Bell MT"/>
          <w:b/>
          <w:color w:val="000000"/>
        </w:rPr>
        <w:t>*** Veuillez prendre note que la Cour ne peut répondre à aucune question concernant le contenu de cet avis. Veuillez ne pas contacter la Cour concernant cet avis. ***</w:t>
      </w:r>
    </w:p>
    <w:sectPr w:rsidR="007B1B0E" w:rsidRPr="007B4BA9" w:rsidSect="00426FC8">
      <w:headerReference w:type="default" r:id="rId15"/>
      <w:footerReference w:type="default" r:id="rId16"/>
      <w:headerReference w:type="first" r:id="rId17"/>
      <w:pgSz w:w="12240" w:h="15840"/>
      <w:pgMar w:top="1170" w:right="99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7C42" w14:textId="77777777" w:rsidR="00A771E7" w:rsidRDefault="00A771E7">
      <w:r>
        <w:separator/>
      </w:r>
    </w:p>
  </w:endnote>
  <w:endnote w:type="continuationSeparator" w:id="0">
    <w:p w14:paraId="01009FCF" w14:textId="77777777" w:rsidR="00A771E7" w:rsidRDefault="00A7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93476"/>
      <w:docPartObj>
        <w:docPartGallery w:val="Page Numbers (Bottom of Page)"/>
        <w:docPartUnique/>
      </w:docPartObj>
    </w:sdtPr>
    <w:sdtEndPr>
      <w:rPr>
        <w:noProof/>
      </w:rPr>
    </w:sdtEndPr>
    <w:sdtContent>
      <w:p w14:paraId="0449DB52" w14:textId="1F467AFF" w:rsidR="00AC1FEF" w:rsidRDefault="00AC1FEF">
        <w:pPr>
          <w:pStyle w:val="Pieddepage"/>
          <w:jc w:val="right"/>
        </w:pPr>
        <w:r>
          <w:fldChar w:fldCharType="begin"/>
        </w:r>
        <w:r>
          <w:instrText xml:space="preserve"> PAGE   \* MERGEFORMAT </w:instrText>
        </w:r>
        <w:r>
          <w:fldChar w:fldCharType="separate"/>
        </w:r>
        <w:r w:rsidR="00163BCA">
          <w:t>5</w:t>
        </w:r>
        <w:r>
          <w:fldChar w:fldCharType="end"/>
        </w:r>
      </w:p>
    </w:sdtContent>
  </w:sdt>
  <w:p w14:paraId="206F9003" w14:textId="77777777" w:rsidR="00AC1FEF" w:rsidRDefault="00AC1F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66A1" w14:textId="77777777" w:rsidR="00A771E7" w:rsidRDefault="00A771E7">
      <w:r>
        <w:separator/>
      </w:r>
    </w:p>
  </w:footnote>
  <w:footnote w:type="continuationSeparator" w:id="0">
    <w:p w14:paraId="75CA47FC" w14:textId="77777777" w:rsidR="00A771E7" w:rsidRDefault="00A7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7210" w14:textId="77777777" w:rsidR="00AC1FEF" w:rsidRDefault="00AC1FEF">
    <w:pPr>
      <w:pStyle w:val="En-tte"/>
      <w:jc w:val="right"/>
    </w:pPr>
  </w:p>
  <w:p w14:paraId="7E7A8A7A" w14:textId="77777777" w:rsidR="00AC1FEF" w:rsidRDefault="00AC1FEF" w:rsidP="00CE4C4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90CD" w14:textId="05AA7958" w:rsidR="00AC1FEF" w:rsidRPr="008D30CB" w:rsidRDefault="00AC1FEF" w:rsidP="008D30CB">
    <w:pPr>
      <w:pStyle w:val="En-tte"/>
      <w:jc w:val="center"/>
    </w:pPr>
    <w:r>
      <w:rPr>
        <w:rFonts w:ascii="Gill Sans MT" w:hAnsi="Gill Sans MT"/>
        <w:bCs/>
      </w:rPr>
      <w:t>(FORMULE ABRÉGÉE)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1D1"/>
    <w:multiLevelType w:val="hybridMultilevel"/>
    <w:tmpl w:val="89C0F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B347EA"/>
    <w:multiLevelType w:val="hybridMultilevel"/>
    <w:tmpl w:val="649AD5E8"/>
    <w:lvl w:ilvl="0" w:tplc="04090001">
      <w:start w:val="9"/>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F1F7D"/>
    <w:multiLevelType w:val="hybridMultilevel"/>
    <w:tmpl w:val="2AA67498"/>
    <w:lvl w:ilvl="0" w:tplc="56B00CE8">
      <w:start w:val="1"/>
      <w:numFmt w:val="decimal"/>
      <w:lvlText w:val="%1."/>
      <w:lvlJc w:val="left"/>
      <w:pPr>
        <w:ind w:left="720" w:hanging="360"/>
      </w:pPr>
    </w:lvl>
    <w:lvl w:ilvl="1" w:tplc="9B4AEBFA">
      <w:start w:val="1"/>
      <w:numFmt w:val="lowerLetter"/>
      <w:lvlText w:val="%2."/>
      <w:lvlJc w:val="left"/>
      <w:pPr>
        <w:ind w:left="1440" w:hanging="360"/>
      </w:pPr>
    </w:lvl>
    <w:lvl w:ilvl="2" w:tplc="8B3C287C">
      <w:start w:val="1"/>
      <w:numFmt w:val="lowerRoman"/>
      <w:lvlText w:val="%3."/>
      <w:lvlJc w:val="right"/>
      <w:pPr>
        <w:ind w:left="2160" w:hanging="180"/>
      </w:pPr>
    </w:lvl>
    <w:lvl w:ilvl="3" w:tplc="A1A0F1A6">
      <w:start w:val="1"/>
      <w:numFmt w:val="decimal"/>
      <w:lvlText w:val="%4."/>
      <w:lvlJc w:val="left"/>
      <w:pPr>
        <w:ind w:left="2880" w:hanging="360"/>
      </w:pPr>
    </w:lvl>
    <w:lvl w:ilvl="4" w:tplc="F5ECF3EC">
      <w:start w:val="1"/>
      <w:numFmt w:val="lowerLetter"/>
      <w:lvlText w:val="%5."/>
      <w:lvlJc w:val="left"/>
      <w:pPr>
        <w:ind w:left="3600" w:hanging="360"/>
      </w:pPr>
    </w:lvl>
    <w:lvl w:ilvl="5" w:tplc="6B8AFE38">
      <w:start w:val="1"/>
      <w:numFmt w:val="lowerRoman"/>
      <w:lvlText w:val="%6."/>
      <w:lvlJc w:val="right"/>
      <w:pPr>
        <w:ind w:left="4320" w:hanging="180"/>
      </w:pPr>
    </w:lvl>
    <w:lvl w:ilvl="6" w:tplc="4BECF3DA">
      <w:start w:val="1"/>
      <w:numFmt w:val="decimal"/>
      <w:lvlText w:val="%7."/>
      <w:lvlJc w:val="left"/>
      <w:pPr>
        <w:ind w:left="5040" w:hanging="360"/>
      </w:pPr>
    </w:lvl>
    <w:lvl w:ilvl="7" w:tplc="99B07832">
      <w:start w:val="1"/>
      <w:numFmt w:val="lowerLetter"/>
      <w:lvlText w:val="%8."/>
      <w:lvlJc w:val="left"/>
      <w:pPr>
        <w:ind w:left="5760" w:hanging="360"/>
      </w:pPr>
    </w:lvl>
    <w:lvl w:ilvl="8" w:tplc="B82E2CC6">
      <w:start w:val="1"/>
      <w:numFmt w:val="lowerRoman"/>
      <w:lvlText w:val="%9."/>
      <w:lvlJc w:val="right"/>
      <w:pPr>
        <w:ind w:left="6480" w:hanging="180"/>
      </w:pPr>
    </w:lvl>
  </w:abstractNum>
  <w:abstractNum w:abstractNumId="3" w15:restartNumberingAfterBreak="0">
    <w:nsid w:val="39F661EF"/>
    <w:multiLevelType w:val="hybridMultilevel"/>
    <w:tmpl w:val="D3F29350"/>
    <w:lvl w:ilvl="0" w:tplc="66347226">
      <w:start w:val="20"/>
      <w:numFmt w:val="bullet"/>
      <w:lvlText w:val=""/>
      <w:lvlJc w:val="left"/>
      <w:pPr>
        <w:ind w:left="1080" w:hanging="360"/>
      </w:pPr>
      <w:rPr>
        <w:rFonts w:ascii="Symbol" w:eastAsia="Times New Roman" w:hAnsi="Symbol" w:cs="Times New Roman" w:hint="default"/>
      </w:rPr>
    </w:lvl>
    <w:lvl w:ilvl="1" w:tplc="7488EB8E">
      <w:start w:val="1"/>
      <w:numFmt w:val="bullet"/>
      <w:lvlText w:val="o"/>
      <w:lvlJc w:val="left"/>
      <w:pPr>
        <w:ind w:left="1800" w:hanging="360"/>
      </w:pPr>
      <w:rPr>
        <w:rFonts w:ascii="Courier New" w:hAnsi="Courier New" w:cs="Courier New" w:hint="default"/>
      </w:rPr>
    </w:lvl>
    <w:lvl w:ilvl="2" w:tplc="36803058">
      <w:start w:val="1"/>
      <w:numFmt w:val="bullet"/>
      <w:lvlText w:val=""/>
      <w:lvlJc w:val="left"/>
      <w:pPr>
        <w:ind w:left="2520" w:hanging="360"/>
      </w:pPr>
      <w:rPr>
        <w:rFonts w:ascii="Wingdings" w:hAnsi="Wingdings" w:hint="default"/>
      </w:rPr>
    </w:lvl>
    <w:lvl w:ilvl="3" w:tplc="FFA4DDD6">
      <w:start w:val="1"/>
      <w:numFmt w:val="bullet"/>
      <w:lvlText w:val=""/>
      <w:lvlJc w:val="left"/>
      <w:pPr>
        <w:ind w:left="3240" w:hanging="360"/>
      </w:pPr>
      <w:rPr>
        <w:rFonts w:ascii="Symbol" w:hAnsi="Symbol" w:hint="default"/>
      </w:rPr>
    </w:lvl>
    <w:lvl w:ilvl="4" w:tplc="EAB00D18">
      <w:start w:val="1"/>
      <w:numFmt w:val="bullet"/>
      <w:lvlText w:val="o"/>
      <w:lvlJc w:val="left"/>
      <w:pPr>
        <w:ind w:left="3960" w:hanging="360"/>
      </w:pPr>
      <w:rPr>
        <w:rFonts w:ascii="Courier New" w:hAnsi="Courier New" w:cs="Courier New" w:hint="default"/>
      </w:rPr>
    </w:lvl>
    <w:lvl w:ilvl="5" w:tplc="C3F297CC">
      <w:start w:val="1"/>
      <w:numFmt w:val="bullet"/>
      <w:lvlText w:val=""/>
      <w:lvlJc w:val="left"/>
      <w:pPr>
        <w:ind w:left="4680" w:hanging="360"/>
      </w:pPr>
      <w:rPr>
        <w:rFonts w:ascii="Wingdings" w:hAnsi="Wingdings" w:hint="default"/>
      </w:rPr>
    </w:lvl>
    <w:lvl w:ilvl="6" w:tplc="17186C0E">
      <w:start w:val="1"/>
      <w:numFmt w:val="bullet"/>
      <w:lvlText w:val=""/>
      <w:lvlJc w:val="left"/>
      <w:pPr>
        <w:ind w:left="5400" w:hanging="360"/>
      </w:pPr>
      <w:rPr>
        <w:rFonts w:ascii="Symbol" w:hAnsi="Symbol" w:hint="default"/>
      </w:rPr>
    </w:lvl>
    <w:lvl w:ilvl="7" w:tplc="D2DCCF42">
      <w:start w:val="1"/>
      <w:numFmt w:val="bullet"/>
      <w:lvlText w:val="o"/>
      <w:lvlJc w:val="left"/>
      <w:pPr>
        <w:ind w:left="6120" w:hanging="360"/>
      </w:pPr>
      <w:rPr>
        <w:rFonts w:ascii="Courier New" w:hAnsi="Courier New" w:cs="Courier New" w:hint="default"/>
      </w:rPr>
    </w:lvl>
    <w:lvl w:ilvl="8" w:tplc="C94E49C4">
      <w:start w:val="1"/>
      <w:numFmt w:val="bullet"/>
      <w:lvlText w:val=""/>
      <w:lvlJc w:val="left"/>
      <w:pPr>
        <w:ind w:left="6840" w:hanging="360"/>
      </w:pPr>
      <w:rPr>
        <w:rFonts w:ascii="Wingdings" w:hAnsi="Wingdings" w:hint="default"/>
      </w:rPr>
    </w:lvl>
  </w:abstractNum>
  <w:abstractNum w:abstractNumId="4" w15:restartNumberingAfterBreak="0">
    <w:nsid w:val="6CA70656"/>
    <w:multiLevelType w:val="hybridMultilevel"/>
    <w:tmpl w:val="58D0A24E"/>
    <w:lvl w:ilvl="0" w:tplc="198ECCB2">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10"/>
    <w:rsid w:val="00014691"/>
    <w:rsid w:val="00047C61"/>
    <w:rsid w:val="00073006"/>
    <w:rsid w:val="00087CD9"/>
    <w:rsid w:val="000A7DBF"/>
    <w:rsid w:val="000C40F8"/>
    <w:rsid w:val="0012494B"/>
    <w:rsid w:val="00141D17"/>
    <w:rsid w:val="00147181"/>
    <w:rsid w:val="00163BCA"/>
    <w:rsid w:val="0017450A"/>
    <w:rsid w:val="001761BE"/>
    <w:rsid w:val="00192343"/>
    <w:rsid w:val="00204D8D"/>
    <w:rsid w:val="00212DE5"/>
    <w:rsid w:val="002464D2"/>
    <w:rsid w:val="00254D6F"/>
    <w:rsid w:val="002617EE"/>
    <w:rsid w:val="00277397"/>
    <w:rsid w:val="00284DDF"/>
    <w:rsid w:val="002A495C"/>
    <w:rsid w:val="002B29F0"/>
    <w:rsid w:val="002D1933"/>
    <w:rsid w:val="00332C8E"/>
    <w:rsid w:val="00362CB8"/>
    <w:rsid w:val="003B5027"/>
    <w:rsid w:val="003C76AE"/>
    <w:rsid w:val="003F18EC"/>
    <w:rsid w:val="00423299"/>
    <w:rsid w:val="00426FC8"/>
    <w:rsid w:val="00475D05"/>
    <w:rsid w:val="0049097A"/>
    <w:rsid w:val="004E59CD"/>
    <w:rsid w:val="004F1363"/>
    <w:rsid w:val="005107BD"/>
    <w:rsid w:val="00555F44"/>
    <w:rsid w:val="005645AF"/>
    <w:rsid w:val="005922EE"/>
    <w:rsid w:val="005A0190"/>
    <w:rsid w:val="005A5636"/>
    <w:rsid w:val="005B248E"/>
    <w:rsid w:val="005E43BD"/>
    <w:rsid w:val="00620FA5"/>
    <w:rsid w:val="00640AD6"/>
    <w:rsid w:val="00696EB8"/>
    <w:rsid w:val="006C59BA"/>
    <w:rsid w:val="006F2513"/>
    <w:rsid w:val="006F43AB"/>
    <w:rsid w:val="006F7ADF"/>
    <w:rsid w:val="00712460"/>
    <w:rsid w:val="007310F3"/>
    <w:rsid w:val="0074358A"/>
    <w:rsid w:val="0077252F"/>
    <w:rsid w:val="007B1B0E"/>
    <w:rsid w:val="007B4BA9"/>
    <w:rsid w:val="00827B30"/>
    <w:rsid w:val="008A2750"/>
    <w:rsid w:val="008C389B"/>
    <w:rsid w:val="008D30CB"/>
    <w:rsid w:val="008F5F90"/>
    <w:rsid w:val="008F7E20"/>
    <w:rsid w:val="00905019"/>
    <w:rsid w:val="00907D08"/>
    <w:rsid w:val="00957D43"/>
    <w:rsid w:val="009606C2"/>
    <w:rsid w:val="009746DF"/>
    <w:rsid w:val="009A34F6"/>
    <w:rsid w:val="009E45A6"/>
    <w:rsid w:val="009F65FC"/>
    <w:rsid w:val="009F6EDD"/>
    <w:rsid w:val="00A0399A"/>
    <w:rsid w:val="00A17BEE"/>
    <w:rsid w:val="00A31375"/>
    <w:rsid w:val="00A35A07"/>
    <w:rsid w:val="00A36C24"/>
    <w:rsid w:val="00A56438"/>
    <w:rsid w:val="00A771E7"/>
    <w:rsid w:val="00A80E8A"/>
    <w:rsid w:val="00A82367"/>
    <w:rsid w:val="00AA2B83"/>
    <w:rsid w:val="00AC1FEF"/>
    <w:rsid w:val="00AF3875"/>
    <w:rsid w:val="00B2213F"/>
    <w:rsid w:val="00B5297F"/>
    <w:rsid w:val="00B76700"/>
    <w:rsid w:val="00BF1170"/>
    <w:rsid w:val="00BF43DF"/>
    <w:rsid w:val="00C01FD6"/>
    <w:rsid w:val="00C32B58"/>
    <w:rsid w:val="00C36BD0"/>
    <w:rsid w:val="00C6288C"/>
    <w:rsid w:val="00C76581"/>
    <w:rsid w:val="00CB20C7"/>
    <w:rsid w:val="00CC66EC"/>
    <w:rsid w:val="00CE0F26"/>
    <w:rsid w:val="00CE4C44"/>
    <w:rsid w:val="00D0465C"/>
    <w:rsid w:val="00D23F74"/>
    <w:rsid w:val="00D330AA"/>
    <w:rsid w:val="00D86838"/>
    <w:rsid w:val="00DA5040"/>
    <w:rsid w:val="00DA78CC"/>
    <w:rsid w:val="00DB4553"/>
    <w:rsid w:val="00DC4038"/>
    <w:rsid w:val="00DE473D"/>
    <w:rsid w:val="00E00412"/>
    <w:rsid w:val="00E16978"/>
    <w:rsid w:val="00E44F10"/>
    <w:rsid w:val="00EB3EB9"/>
    <w:rsid w:val="00EE4F7D"/>
    <w:rsid w:val="00EF0E16"/>
    <w:rsid w:val="00F30353"/>
    <w:rsid w:val="00F52E5C"/>
    <w:rsid w:val="00F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7B4BA9"/>
    <w:pPr>
      <w:widowControl/>
      <w:autoSpaceDE/>
      <w:autoSpaceDN/>
      <w:adjustRightInd/>
      <w:spacing w:before="120" w:after="240"/>
      <w:outlineLvl w:val="0"/>
    </w:pPr>
    <w:rPr>
      <w:rFonts w:ascii="Gill Sans MT" w:hAnsi="Gill Sans MT"/>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4F10"/>
    <w:rPr>
      <w:rFonts w:ascii="Times New Roman" w:hAnsi="Times New Roman" w:cs="Times New Roman" w:hint="default"/>
      <w:color w:val="0000FF"/>
      <w:sz w:val="24"/>
      <w:szCs w:val="24"/>
      <w:u w:val="single"/>
      <w:lang w:val="fr-CA"/>
    </w:rPr>
  </w:style>
  <w:style w:type="paragraph" w:styleId="Corpsdetexte">
    <w:name w:val="Body Text"/>
    <w:basedOn w:val="Normal"/>
    <w:link w:val="CorpsdetexteCar"/>
    <w:uiPriority w:val="99"/>
    <w:unhideWhenUsed/>
    <w:rsid w:val="00E44F10"/>
    <w:pPr>
      <w:spacing w:after="240"/>
    </w:pPr>
    <w:rPr>
      <w:rFonts w:ascii="Calibri" w:hAnsi="Calibri" w:cs="Calibri"/>
    </w:rPr>
  </w:style>
  <w:style w:type="character" w:customStyle="1" w:styleId="CorpsdetexteCar">
    <w:name w:val="Corps de texte Car"/>
    <w:basedOn w:val="Policepardfaut"/>
    <w:link w:val="Corpsdetexte"/>
    <w:uiPriority w:val="99"/>
    <w:rsid w:val="00E44F10"/>
    <w:rPr>
      <w:rFonts w:ascii="Calibri" w:eastAsia="Times New Roman" w:hAnsi="Calibri" w:cs="Calibri"/>
      <w:sz w:val="24"/>
      <w:szCs w:val="24"/>
    </w:rPr>
  </w:style>
  <w:style w:type="paragraph" w:styleId="Paragraphedeliste">
    <w:name w:val="List Paragraph"/>
    <w:basedOn w:val="Normal"/>
    <w:uiPriority w:val="34"/>
    <w:qFormat/>
    <w:rsid w:val="00E44F10"/>
    <w:pPr>
      <w:ind w:left="720"/>
      <w:contextualSpacing/>
    </w:pPr>
  </w:style>
  <w:style w:type="paragraph" w:customStyle="1" w:styleId="SCHeading2">
    <w:name w:val="SCHeading2"/>
    <w:aliases w:val="H2"/>
    <w:basedOn w:val="Normal"/>
    <w:next w:val="Normal"/>
    <w:rsid w:val="00E44F10"/>
    <w:pPr>
      <w:keepNext/>
      <w:widowControl/>
      <w:autoSpaceDE/>
      <w:autoSpaceDN/>
      <w:adjustRightInd/>
      <w:spacing w:before="120" w:after="120"/>
      <w:jc w:val="left"/>
      <w:outlineLvl w:val="1"/>
    </w:pPr>
    <w:rPr>
      <w:b/>
      <w:szCs w:val="20"/>
    </w:rPr>
  </w:style>
  <w:style w:type="paragraph" w:customStyle="1" w:styleId="SCHeading1Centre">
    <w:name w:val="SCHeading1Centre"/>
    <w:aliases w:val="H1C"/>
    <w:basedOn w:val="Normal"/>
    <w:next w:val="Normal"/>
    <w:rsid w:val="00E44F10"/>
    <w:pPr>
      <w:keepNext/>
      <w:widowControl/>
      <w:autoSpaceDE/>
      <w:autoSpaceDN/>
      <w:adjustRightInd/>
      <w:spacing w:before="120" w:after="120"/>
      <w:jc w:val="center"/>
      <w:outlineLvl w:val="0"/>
    </w:pPr>
    <w:rPr>
      <w:b/>
      <w:caps/>
    </w:rPr>
  </w:style>
  <w:style w:type="character" w:customStyle="1" w:styleId="Titre1Car">
    <w:name w:val="Titre 1 Car"/>
    <w:basedOn w:val="Policepardfaut"/>
    <w:link w:val="Titre1"/>
    <w:uiPriority w:val="9"/>
    <w:rsid w:val="007B4BA9"/>
    <w:rPr>
      <w:rFonts w:ascii="Gill Sans MT" w:eastAsia="Times New Roman" w:hAnsi="Gill Sans MT" w:cs="Times New Roman"/>
      <w:b/>
      <w:smallCaps/>
      <w:sz w:val="24"/>
      <w:szCs w:val="24"/>
      <w:lang w:val="fr-CA"/>
    </w:rPr>
  </w:style>
  <w:style w:type="paragraph" w:styleId="En-tte">
    <w:name w:val="header"/>
    <w:basedOn w:val="Normal"/>
    <w:link w:val="En-tteCar"/>
    <w:uiPriority w:val="99"/>
    <w:unhideWhenUsed/>
    <w:rsid w:val="00CE4C44"/>
    <w:pPr>
      <w:tabs>
        <w:tab w:val="center" w:pos="4680"/>
        <w:tab w:val="right" w:pos="9360"/>
      </w:tabs>
    </w:pPr>
  </w:style>
  <w:style w:type="character" w:customStyle="1" w:styleId="En-tteCar">
    <w:name w:val="En-tête Car"/>
    <w:basedOn w:val="Policepardfaut"/>
    <w:link w:val="En-tte"/>
    <w:uiPriority w:val="99"/>
    <w:rsid w:val="00CE4C44"/>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E4C44"/>
    <w:pPr>
      <w:tabs>
        <w:tab w:val="center" w:pos="4680"/>
        <w:tab w:val="right" w:pos="9360"/>
      </w:tabs>
    </w:pPr>
  </w:style>
  <w:style w:type="character" w:customStyle="1" w:styleId="PieddepageCar">
    <w:name w:val="Pied de page Car"/>
    <w:basedOn w:val="Policepardfaut"/>
    <w:link w:val="Pieddepage"/>
    <w:uiPriority w:val="99"/>
    <w:rsid w:val="00CE4C44"/>
    <w:rPr>
      <w:rFonts w:ascii="Times New Roman" w:eastAsia="Times New Roman" w:hAnsi="Times New Roman" w:cs="Times New Roman"/>
      <w:sz w:val="24"/>
      <w:szCs w:val="24"/>
    </w:rPr>
  </w:style>
  <w:style w:type="character" w:customStyle="1" w:styleId="DocID">
    <w:name w:val="DocID"/>
    <w:basedOn w:val="Policepardfaut"/>
    <w:rsid w:val="00A17BEE"/>
    <w:rPr>
      <w:rFonts w:ascii="Arial" w:hAnsi="Arial" w:cs="Arial"/>
      <w:b w:val="0"/>
      <w:bCs/>
      <w:i w:val="0"/>
      <w:caps w:val="0"/>
      <w:vanish w:val="0"/>
      <w:color w:val="000000"/>
      <w:sz w:val="16"/>
      <w:u w:val="none"/>
    </w:rPr>
  </w:style>
  <w:style w:type="paragraph" w:styleId="Textedebulles">
    <w:name w:val="Balloon Text"/>
    <w:basedOn w:val="Normal"/>
    <w:link w:val="TextedebullesCar"/>
    <w:uiPriority w:val="99"/>
    <w:semiHidden/>
    <w:unhideWhenUsed/>
    <w:rsid w:val="00A56438"/>
    <w:rPr>
      <w:rFonts w:ascii="Tahoma" w:hAnsi="Tahoma" w:cs="Tahoma"/>
      <w:sz w:val="16"/>
      <w:szCs w:val="16"/>
    </w:rPr>
  </w:style>
  <w:style w:type="character" w:customStyle="1" w:styleId="TextedebullesCar">
    <w:name w:val="Texte de bulles Car"/>
    <w:basedOn w:val="Policepardfaut"/>
    <w:link w:val="Textedebulles"/>
    <w:uiPriority w:val="99"/>
    <w:semiHidden/>
    <w:rsid w:val="00A56438"/>
    <w:rPr>
      <w:rFonts w:ascii="Tahoma" w:eastAsia="Times New Roman" w:hAnsi="Tahoma" w:cs="Tahoma"/>
      <w:sz w:val="16"/>
      <w:szCs w:val="16"/>
    </w:rPr>
  </w:style>
  <w:style w:type="table" w:styleId="Grilledutableau">
    <w:name w:val="Table Grid"/>
    <w:basedOn w:val="TableauNormal"/>
    <w:uiPriority w:val="39"/>
    <w:rsid w:val="005A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0399A"/>
    <w:rPr>
      <w:sz w:val="16"/>
      <w:szCs w:val="16"/>
    </w:rPr>
  </w:style>
  <w:style w:type="paragraph" w:styleId="Commentaire">
    <w:name w:val="annotation text"/>
    <w:basedOn w:val="Normal"/>
    <w:link w:val="CommentaireCar"/>
    <w:uiPriority w:val="99"/>
    <w:semiHidden/>
    <w:unhideWhenUsed/>
    <w:rsid w:val="00A0399A"/>
    <w:rPr>
      <w:sz w:val="20"/>
      <w:szCs w:val="20"/>
    </w:rPr>
  </w:style>
  <w:style w:type="character" w:customStyle="1" w:styleId="CommentaireCar">
    <w:name w:val="Commentaire Car"/>
    <w:basedOn w:val="Policepardfaut"/>
    <w:link w:val="Commentaire"/>
    <w:uiPriority w:val="99"/>
    <w:semiHidden/>
    <w:rsid w:val="00A0399A"/>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0399A"/>
    <w:rPr>
      <w:b/>
      <w:bCs/>
    </w:rPr>
  </w:style>
  <w:style w:type="character" w:customStyle="1" w:styleId="ObjetducommentaireCar">
    <w:name w:val="Objet du commentaire Car"/>
    <w:basedOn w:val="CommentaireCar"/>
    <w:link w:val="Objetducommentaire"/>
    <w:uiPriority w:val="99"/>
    <w:semiHidden/>
    <w:rsid w:val="00A039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privacyclassaction.ca" TargetMode="External"/><Relationship Id="rId13" Type="http://schemas.openxmlformats.org/officeDocument/2006/relationships/hyperlink" Target="http://personalprivacyclassacti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privacy@classaction2.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privacy@classaction2.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ersonalprivacyclassacti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assaction2.com/personalprivacy.html" TargetMode="External"/><Relationship Id="rId14" Type="http://schemas.openxmlformats.org/officeDocument/2006/relationships/hyperlink" Target="mailto:reception@waddellphill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C52D-B9C1-407E-A22B-7CA5FEB7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1936</Words>
  <Characters>10650</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2019-10-18T20:19:00Z</dcterms:created>
  <dcterms:modified xsi:type="dcterms:W3CDTF">2019-10-18T20:35:00Z</dcterms:modified>
</cp:coreProperties>
</file>